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*ST皇庭B</w:t>
        <w:br/>
        <w:t>200056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49 名 ｜ 摸鱼指数 54.8 ｜ V2保壳分 50 ｜ C级 ｜ 全榜第 122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*ST皇庭B（200056）投资要点</w:t>
      </w:r>
    </w:p>
    <w:p>
      <w:pPr>
        <w:jc w:val="center"/>
      </w:pPr>
      <w:r>
        <w:rPr>
          <w:color w:val="666666"/>
          <w:sz w:val="20"/>
        </w:rPr>
        <w:t>B股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122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54.8 / 第 49 名（壳便宜分 79）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6.03 亿元 / 0.51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郑康豪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B股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面值距离(0/6)、C2 壳价值锚定(2/8)、S1 实控人性质(3/12)、A1 净资产(3/10)、A3 扣非净利润(0/6)、D1 现金流(1/4)、F2 重组纾困(0/6)、F1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*ST皇庭B（200056）当前V2保壳评分 50 分（C级），全榜第 122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200056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*ST皇庭B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B股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0.51 元 / 6.03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郑康豪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122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单源出分，榜单分数=报告分数）。*ST皇庭B 当前 50 分、C 级，全榜第 122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C10/6、C22/8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A13/10、A212/12、A30/6、D11/4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1/4：经营现金流为负，资金链压力大。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实控人：郑康豪（民企(个人)）。S1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C10/6、C22/8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A13/10、A212/12、A30/6、D11/4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风险通道：市场通道、财务红线、纾困通道——是当前最可能触发退市的路径，需优先跟踪。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*ST皇庭B（200056）当前V2保壳评分 50 分（C级），全榜第 122 名。安全垫维度：S2股权质押、A2扣非主营收入、B1立案/造假、B2审计意见、H1司法风险。实控人为民企(个人)（郑康豪），无国资兜底，保壳依赖自身资源与外部资本博弈。暂无重组/纾困信号，保壳主要依赖自身经营修复。市值6.03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*ST皇庭B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6.03 亿元，对照壳基准 33.81 亿元（近2年154笔实控权变更市值中位数）：市值/基准 = 18%。处于并购/借壳成本优势区——壳越便宜，重组方入场成本越低，被并购概率上升。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49 名，摸鱼指数 54.8（壳便宜分 79）。摸鱼指数=50%×V2保壳分+50%×壳便宜分，反映「保壳确定性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S2 股权质押(6/6)、A2 扣非主营收入(12/12)、B1 立案/造假(10/10)、B2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面值距离(0/6)、C2 壳价值锚定(2/8)、S1 实控人性质(3/12)、A1 净资产(3/10)、A3 扣非净利润(0/6)、D1 现金流(1/4)、F2 重组纾困(0/6)、F1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多头逻辑：S2 股权质押(6/6)；A2 扣非主营收入(12/12)。空头逻辑：C1 面值距离(0/6)；C2 壳价值锚定(2/8)。综合评级见第八章。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122 名 / 第 49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风险源维度：C1面值距离、C2壳价值锚定、S1实控人性质、A1净资产、A3扣非净利润、D1现金流、F2重组纾困、F1财务趋势。 股价贴近或跌破1元面值线（C1≤1），面值退市危机显著。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*ST皇庭B（200056）=V2评分 50 分/C级/全榜第122名，摸鱼第49名（指数54.8）。S2 股权质押(6/6)、A2 扣非主营收入(12/12)、B1 立案/造假(10/10)、B2 审计意见(12/12)、H1 司法风险(4/4)为安全垫，C1 面值距离(0/6)、C2 壳价值锚定(2/8)、S1 实控人性质(3/12)、A1 净资产(3/10)、A3 扣非净利润(0/6)、D1 现金流(1/4)、F2 重组纾困(0/6)、F1 财务趋势(0/4)为风险源。保壳压力较大，存在明确风险敞口，若短板维度不修复，存在退市可能。（详见正文九章。）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深度跟读报告｜*ST皇庭B（200056）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