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*ST雅博</w:t>
        <w:br/>
        <w:t>002323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52 名 ｜ 摸鱼指数 54.0 ｜ V2保壳分 59 ｜ B级 ｜ 全榜第 56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*ST雅博（002323）投资要点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59 分 / B 级（全榜第 56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54.0 / 第 52 名（壳便宜分 49）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27.36 亿元 / 1.29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枣庄市财政局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综合评级：B级（59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面值距离(1/6)、C2 壳价值锚定(4/8)、A2 扣非主营收入(6/12)、A3 扣非净利润(0/6)、D1 现金流(2/4)、F2 重组纾困(0/6)、F1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*ST雅博（002323）当前V2保壳评分 59 分（B级），全榜第 56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002323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*ST雅博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1.29 元 / 27.36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枣庄市财政局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56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单源出分，榜单分数=报告分数）。*ST雅博 当前 59 分、B 级，全榜第 56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C11/6、C24/8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A16/10、A26/12、A30/6、D12/4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实控人：枣庄市财政局（市县国资）。S1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C11/6、C24/8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A16/10、A26/12、A30/6、D12/4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风险通道：市场通道、财务红线、纾困通道——是当前最可能触发退市的路径，需优先跟踪。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*ST雅博（002323）当前V2保壳评分 59 分（B级），全榜第 56 名。安全垫维度：S2股权质押、B1立案/造假、B2审计意见、H1司法风险。实控人为市县国资（枣庄市财政局），地方国资具备一定信用背书与资源协调能力。暂无重组/纾困信号，保壳主要依赖自身经营修复。市值27.36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*ST雅博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27.36 亿元，对照壳基准 33.81 亿元（近2年154笔实控权变更市值中位数）：市值/基准 = 81%。处于折价/平价区，并购成本有吸引力或中性。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52 名，摸鱼指数 54.0（壳便宜分 49）。摸鱼指数=50%×V2保壳分+50%×壳便宜分，反映「保壳确定性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S2 股权质押(6/6)、B1 立案/造假(10/10)、B2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面值距离(1/6)、C2 壳价值锚定(4/8)、A2 扣非主营收入(6/12)、A3 扣非净利润(0/6)、D1 现金流(2/4)、F2 重组纾困(0/6)、F1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多头逻辑：S2 股权质押(6/6)；B1 立案/造假(10/10)。空头逻辑：C1 面值距离(1/6)；C2 壳价值锚定(4/8)。综合评级见第八章。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59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56 名 / 第 52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风险源维度：C1面值距离、C2壳价值锚定、A2扣非主营收入、A3扣非净利润、D1现金流、F2重组纾困、F1财务趋势。 股价贴近或跌破1元面值线（C1≤1），面值退市危机显著。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*ST雅博（002323）=V2评分 59 分/B级/全榜第56名，摸鱼第52名（指数54.0）。S2 股权质押(6/6)、B1 立案/造假(10/10)、B2 审计意见(12/12)、H1 司法风险(4/4)为安全垫，C1 面值距离(1/6)、C2 壳价值锚定(4/8)、A2 扣非主营收入(6/12)、A3 扣非净利润(0/6)、D1 现金流(2/4)、F2 重组纾困(0/6)、F1 财务趋势(0/4)为风险源。保壳压力中等，个别维度存在失分，需跟踪下一报告期的修复情况。（详见正文九章。）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深度跟读报告｜*ST雅博（002323）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