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*ST南置</w:t>
        <w:br/>
        <w:t>002305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55 名 ｜ 摸鱼指数 53.5 ｜ V2保壳分 64 ｜ B级 ｜ 全榜第 29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*ST南置（002305）投资要点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64 分 / B 级（全榜第 29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53.5 / 第 55 名（壳便宜分 43）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36.77 亿元 / 2.12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中国电力建设集团有限公司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综合评级：B级（64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实控人性质(3/12)、A3 扣非净利润(0/6)、F2 重组纾困(2/6)、F1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*ST南置（002305）当前V2保壳评分 64 分（B级），全榜第 29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002305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*ST南置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2.12 元 / 36.77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中国电力建设集团有限公司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29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单源出分，榜单分数=报告分数）。*ST南置 当前 64 分、B 级，全榜第 29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实控人：中国电力建设集团有限公司（民企(法人)）。S1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*ST南置（002305）当前V2保壳评分 64 分（B级），全榜第 29 名。安全垫维度：S2股权质押、A2扣非主营收入、D1现金流、B1立案/造假、H1司法风险。实控人为民企(法人)（中国电力建设集团有限公司），无国资兜底，保壳依赖自身资源与外部资本博弈。已有出售资产/债务豁免等保壳动作，但尚未形成重组级信号。市值36.77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*ST南置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36.77 亿元，对照壳基准 33.81 亿元（近2年154笔实控权变更市值中位数）：市值/基准 = 109%。高于壳基准，壳价不占优，安全边际一般。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55 名，摸鱼指数 53.5（壳便宜分 43）。摸鱼指数=50%×V2保壳分+50%×壳便宜分，反映「保壳确定性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S2 股权质押(6/6)、A2 扣非主营收入(12/12)、D1 现金流(4/4)、B1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实控人性质(3/12)、A3 扣非净利润(0/6)、F2 重组纾困(2/6)、F1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多头逻辑：S2 股权质押(6/6)；A2 扣非主营收入(12/12)。空头逻辑：C2 壳价值锚定(2/8)；S1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64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29 名 / 第 55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风险源维度：C2壳价值锚定、S1实控人性质、A3扣非净利润、F2重组纾困、F1财务趋势。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*ST南置（002305）=V2评分 64 分/B级/全榜第29名，摸鱼第55名（指数53.5）。S2 股权质押(6/6)、A2 扣非主营收入(12/12)、D1 现金流(4/4)、B1 立案/造假(10/10)、H1 司法风险(4/4)为安全垫，C2 壳价值锚定(2/8)、S1 实控人性质(3/12)、A3 扣非净利润(0/6)、F2 重组纾困(2/6)、F1 财务趋势(2/4)为风险源。保壳压力中等，个别维度存在失分，需跟踪下一报告期的修复情况。（详见正文九章。）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深度跟读报告｜*ST南置（002305）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