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*ST四通</w:t>
        <w:br/>
        <w:t>603838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61 名 ｜ 摸鱼指数 52.5 ｜ V2保壳分 65 ｜ B级 ｜ 全榜第 25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*ST四通（603838）投资要点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级（全榜第 25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52.5 / 第 61 名（壳便宜分 40）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41.35 亿元 / 12.92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黄建平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实控人性质(3/12)、A3 扣非净利润(0/6)、D1 现金流(0/4)、F2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*ST四通（603838）当前V2保壳评分 65 分（B级），全榜第 25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603838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*ST四通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12.92 元 / 41.35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黄建平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单源出分，榜单分数=报告分数）。*ST四通 当前 65 分、B 级，全榜第 25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实控人：黄建平（民企(个人)）。S1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*ST四通（603838）当前V2保壳评分 65 分（B级），全榜第 25 名。安全垫维度：C1面值距离、S2股权质押、A1净资产、A2扣非主营收入、B1立案/造假、B2审计意见、H1司法风险。实控人为民企(个人)（黄建平），无国资兜底，保壳依赖自身资源与外部资本博弈。暂无重组/纾困信号，保壳主要依赖自身经营修复。市值41.35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*ST四通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41.35 亿元，对照壳基准 33.81 亿元（近2年154笔实控权变更市值中位数）：市值/基准 = 122%。高于壳基准，壳价不占优，安全边际一般。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61 名，摸鱼指数 52.5（壳便宜分 40）。摸鱼指数=50%×V2保壳分+50%×壳便宜分，反映「保壳确定性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净资产(8/10)、A2 扣非主营收入(12/12)、B1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实控人性质(3/12)、A3 扣非净利润(0/6)、D1 现金流(0/4)、F2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25 名 / 第 61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*ST四通（603838）=V2评分 65 分/B级/全榜第25名，摸鱼第61名（指数52.5）。C1 面值距离(6/6)、S2 股权质押(6/6)、A1 净资产(8/10)、A2 扣非主营收入(12/12)、B1 立案/造假(10/10)、B2 审计意见(12/12)、H1 司法风险(4/4)为安全垫，C2 壳价值锚定(2/8)、S1 实控人性质(3/12)、A3 扣非净利润(0/6)、D1 现金流(0/4)、F2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深度跟读报告｜*ST四通（603838）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