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*ST亿晶</w:t>
        <w:br/>
        <w:t>600537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66 名 ｜ 摸鱼指数 52.5 ｜ V2保壳分 55 ｜ B级 ｜ 全榜第 79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*ST亿晶（600537）投资要点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79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52.5 / 第 66 名（壳便宜分 50）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25.69 亿元 / 2.17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实控人性质(1/12)、A1 净资产(0/10)、A3 扣非净利润(0/6)、D1 现金流(2/4)、B2 审计意见(6/12)、F1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*ST亿晶（600537）当前V2保壳评分 55 分（B级），全榜第 79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600537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*ST亿晶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2.17 元 / 25.69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单源出分，榜单分数=报告分数）。*ST亿晶 当前 55 分、B 级，全榜第 79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*ST亿晶（600537）当前V2保壳评分 55 分（B级），全榜第 79 名。安全垫维度：S2股权质押、A2扣非主营收入、B1立案/造假、H1司法风险。公司当前无实控人，治理结构与保壳主导权存在不确定性。重组/预重整正在推进，保壳有实质抓手。市值25.69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*ST亿晶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25.69 亿元，对照壳基准 33.81 亿元（近2年154笔实控权变更市值中位数）：市值/基准 = 76%。处于折价/平价区，并购成本有吸引力或中性。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66 名，摸鱼指数 52.5（壳便宜分 50）。摸鱼指数=50%×V2保壳分+50%×壳便宜分，反映「保壳确定性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股权质押(6/6)、A2 扣非主营收入(12/12)、B1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实控人性质(1/12)、A1 净资产(0/10)、A3 扣非净利润(0/6)、D1 现金流(2/4)、B2 审计意见(6/12)、F1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股权质押(6/6)；A2 扣非主营收入(12/12)。空头逻辑：C2 壳价值锚定(4/8)；S1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79 名 / 第 66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风险源维度：C2壳价值锚定、S1实控人性质、A1净资产、A3扣非净利润、D1现金流、B2审计意见、F1财务趋势。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*ST亿晶（600537）=V2评分 55 分/B级/全榜第79名，摸鱼第66名（指数52.5）。S2 股权质押(6/6)、A2 扣非主营收入(12/12)、B1 立案/造假(10/10)、H1 司法风险(4/4)为安全垫，C2 壳价值锚定(4/8)、S1 实控人性质(1/12)、A1 净资产(0/10)、A3 扣非净利润(0/6)、D1 现金流(2/4)、B2 审计意见(6/12)、F1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深度跟读报告｜*ST亿晶（600537）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