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ST棕榈</w:t>
        <w:br/>
        <w:t>002431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67 名 ｜ 摸鱼指数 52.5 ｜ V2保壳分 55 ｜ B级 ｜ 全榜第 80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ST棕榈（002431）投资要点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80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52.5 / 第 67 名（壳便宜分 50）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25.59 亿元 / 1.42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河南省人民政府国有资产监督管理委员会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壳价值锚定(4/8)、S2 股权质押(0/6)、A3 扣非净利润(3/6)、D1 现金流(2/4)、B2 审计意见(6/12)、F2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ST棕榈（002431）当前V2保壳评分 55 分（B级），全榜第 80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002431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ST棕榈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1.42 元 / 25.59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河南省人民政府国有资产监督管理委员会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单源出分，榜单分数=报告分数）。ST棕榈 当前 55 分、B 级，全榜第 80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实控人：河南省人民政府国有资产监督管理委员会（省级国资）。S1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ST棕榈（002431）当前V2保壳评分 55 分（B级），全榜第 80 名。安全垫维度：S1实控人性质、A1净资产、B1立案/造假。实控人为省级国资（河南省人民政府国有资产监督管理委员会），具备省级政府信用背书与资源整合能力。暂无重组/纾困信号，保壳主要依赖自身经营修复。市值25.59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ST棕榈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25.59 亿元，对照壳基准 33.81 亿元（近2年154笔实控权变更市值中位数）：市值/基准 = 76%。处于折价/平价区，并购成本有吸引力或中性。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67 名，摸鱼指数 52.5（壳便宜分 50）。摸鱼指数=50%×V2保壳分+50%×壳便宜分，反映「保壳确定性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实控人性质(10/12)、A1 净资产(8/10)、B1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壳价值锚定(4/8)、S2 股权质押(0/6)、A3 扣非净利润(3/6)、D1 现金流(2/4)、B2 审计意见(6/12)、F2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实控人性质(10/12)；A1 净资产(8/10)。空头逻辑：C1 面值距离(1/6)；C2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80 名 / 第 67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风险源维度：C1面值距离、C2壳价值锚定、S2股权质押、A3扣非净利润、D1现金流、B2审计意见、F2重组纾困、F1财务趋势、H1司法风险。 股价贴近或跌破1元面值线（C1≤1），面值退市危机显著。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ST棕榈（002431）=V2评分 55 分/B级/全榜第80名，摸鱼第67名（指数52.5）。S1 实控人性质(10/12)、A1 净资产(8/10)、B1 立案/造假(10/10)为安全垫，C1 面值距离(1/6)、C2 壳价值锚定(4/8)、S2 股权质押(0/6)、A3 扣非净利润(3/6)、D1 现金流(2/4)、B2 审计意见(6/12)、F2 重组纾困(0/6)、F1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深度跟读报告｜ST棕榈（002431）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