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ST复华</w:t>
        <w:br/>
        <w:t>600624</w:t>
      </w:r>
    </w:p>
    <w:p>
      <w:pPr>
        <w:jc w:val="center"/>
      </w:pPr>
      <w:r>
        <w:rPr>
          <w:color w:val="1A5276"/>
          <w:sz w:val="30"/>
        </w:rPr>
        <w:t>ST摸鱼风云-V2 · 深度跟读报告</w:t>
      </w:r>
    </w:p>
    <w:p>
      <w:pPr>
        <w:jc w:val="center"/>
      </w:pPr>
      <w:r>
        <w:rPr>
          <w:color w:val="666666"/>
          <w:sz w:val="20"/>
        </w:rPr>
        <w:t>V168+G 九章式深度结构 ｜ V2 评分刻度（榜单分数 = 报告分数）</w:t>
        <w:br/>
        <w:t>摸鱼榜第 69 名 ｜ 摸鱼指数 52.0 ｜ V2保壳分 57 ｜ B级 ｜ 全榜第 67 名</w:t>
        <w:br/>
        <w:t>报告日期：2026年9月1日</w:t>
        <w:br/>
        <w:t>榜单时点：（财务报告期 20251231）</w:t>
      </w:r>
    </w:p>
    <w:p>
      <w:r>
        <w:br w:type="page"/>
      </w:r>
    </w:p>
    <w:p>
      <w:pPr>
        <w:jc w:val="center"/>
      </w:pPr>
      <w:r>
        <w:rPr>
          <w:b/>
          <w:color w:val="1F4E79"/>
          <w:sz w:val="36"/>
        </w:rPr>
        <w:t>ST复华（600624）投资要点</w:t>
      </w:r>
    </w:p>
    <w:p>
      <w:pPr>
        <w:jc w:val="center"/>
      </w:pPr>
      <w:r>
        <w:rPr>
          <w:color w:val="666666"/>
          <w:sz w:val="20"/>
        </w:rPr>
        <w:t>主板 ｜ ST ｜ 报告期 20251231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 分 / B 级（全榜第 67 名）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摸鱼指数 / 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52.0 / 第 69 名（壳便宜分 47）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市值 / 现价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29.82 亿元 / 4.39 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上海市奉贤区国有资产监督管理委员会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板块 / 类型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 / ST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数据时点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r>
        <w:rPr>
          <w:b w:val="0"/>
        </w:rPr>
      </w:r>
    </w:p>
    <w:p>
      <w:r>
        <w:rPr>
          <w:b/>
          <w:color w:val="1F4E79"/>
          <w:sz w:val="24"/>
        </w:rPr>
        <w:t>综合评级：B级（57 / 100 分，V2十三维刻度）</w:t>
      </w:r>
    </w:p>
    <w:p>
      <w:r>
        <w:rPr>
          <w:b/>
          <w:sz w:val="22"/>
        </w:rPr>
        <w:t>核心风险</w:t>
      </w:r>
    </w:p>
    <w:p>
      <w:r>
        <w:rPr>
          <w:b w:val="0"/>
          <w:sz w:val="20"/>
        </w:rPr>
        <w:t>1. 风险源维度：C2 壳价值锚定(4/8)、S2 股权质押(0/6)、A3 扣非净利润(3/6)、D1 现金流(0/4)、F2 重组纾困(0/6)、F1 财务趋势(0/4)、H1 司法风险(0/4)，是主要失分区。</w:t>
      </w:r>
    </w:p>
    <w:p>
      <w:r>
        <w:rPr>
          <w:b w:val="0"/>
          <w:sz w:val="20"/>
        </w:rPr>
        <w:t>2. 财务类退市红线临近（营收达标/扣非盈利/现金流任一维度失守）。</w:t>
      </w:r>
    </w:p>
    <w:p>
      <w:r>
        <w:rPr>
          <w:b w:val="0"/>
          <w:sz w:val="20"/>
        </w:rPr>
        <w:t>3. 暂无重组/纾困级正向信号，保壳依赖自身经营修复。</w:t>
      </w:r>
    </w:p>
    <w:p>
      <w:r>
        <w:rPr>
          <w:b/>
          <w:sz w:val="22"/>
        </w:rPr>
        <w:t>分析结论</w:t>
      </w:r>
    </w:p>
    <w:p>
      <w:r>
        <w:rPr>
          <w:b w:val="0"/>
          <w:sz w:val="20"/>
        </w:rPr>
        <w:t>ST复华（600624）当前V2保壳评分 57 分（B级），全榜第 67 名。保壳压力中等，个别维度存在失分，需跟踪下一报告期的修复情况。（详细研判见正文九章。）</w:t>
      </w:r>
    </w:p>
    <w:p>
      <w:pPr>
        <w:jc w:val="right"/>
      </w:pPr>
      <w:r>
        <w:rPr>
          <w:b w:val="0"/>
          <w:color w:val="999999"/>
          <w:sz w:val="18"/>
        </w:rPr>
        <w:t>分析机构：小调AI-WorkBuddy  |  分析日期：2026年9月1日</w:t>
      </w:r>
    </w:p>
    <w:p>
      <w:r>
        <w:br w:type="page"/>
      </w:r>
    </w:p>
    <w:p>
      <w:pPr>
        <w:jc w:val="center"/>
      </w:pPr>
      <w:r>
        <w:rPr>
          <w:b/>
          <w:sz w:val="28"/>
        </w:rPr>
        <w:t>目  录</w:t>
      </w:r>
    </w:p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一、公司概况</w:t>
      </w:r>
    </w:p>
    <w:p>
      <w:pPr>
        <w:pStyle w:val="Heading2"/>
      </w:pPr>
      <w:r>
        <w:rPr>
          <w:color w:val="2E749B"/>
        </w:rPr>
        <w:t>1.1 基本信息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证券代码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600624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证券简称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ST复华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上市板块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主板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ST类型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ST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现价 / 市值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4.39 元 / 29.82 亿元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实控人 / 属性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上海市奉贤区国有资产监督管理委员会 / 市县国资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全榜排名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第 67 名 / B 级（共 207 家）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报告期 / 榜单时点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20251231 / —</w:t>
            </w:r>
          </w:p>
        </w:tc>
      </w:tr>
    </w:tbl>
    <w:p>
      <w:pPr>
        <w:pStyle w:val="Heading2"/>
      </w:pPr>
      <w:r>
        <w:rPr>
          <w:color w:val="2E749B"/>
        </w:rPr>
        <w:t>1.2 V2评分定位与退市通道速览</w:t>
      </w:r>
    </w:p>
    <w:p>
      <w:r>
        <w:rPr>
          <w:b w:val="0"/>
        </w:rPr>
        <w:t>本报告评分采用 ST保壳评分系统V2（十三维100分制，score_v2.py 单源出分，榜单分数=报告分数）。ST复华 当前 57 分、B 级，全榜第 67 名。保壳压力中等，个别维度存在失分，需跟踪下一报告期的修复情况。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pPr>
        <w:pStyle w:val="Heading2"/>
      </w:pPr>
      <w:r>
        <w:rPr>
          <w:color w:val="2E749B"/>
        </w:rPr>
        <w:t>1.3 报告口径说明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  <w:br/>
        <w:t>· 评级标准：A级&gt;70｜B级51-70｜C级31-50｜D级≤30；联动规则：C1≤1时C2降档；涉造假立案S1封顶4。</w:t>
      </w:r>
    </w:p>
    <w:p>
      <w:pPr>
        <w:pStyle w:val="Heading1"/>
      </w:pPr>
      <w:r>
        <w:rPr>
          <w:color w:val="1A5276"/>
        </w:rPr>
        <w:t>二、财务分析（V2退市红线口径）</w:t>
      </w:r>
    </w:p>
    <w:p>
      <w:r>
        <w:rPr>
          <w:b w:val="0"/>
        </w:rPr>
        <w:t>本章以V2财务四维（A1净资产/A2扣非主营收入/A3扣非净利润/D1现金流）替代V168的报表级财务分析——V2口径直接对标退市红线，比报表科目更贴近保壳判断。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净资产尚可（正且有余量），安全边际一般。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微利或微亏，盈利面中性。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经营现金流为负，资金链压力大。</w:t>
            </w:r>
          </w:p>
        </w:tc>
      </w:tr>
    </w:tbl>
    <w:p>
      <w:pPr>
        <w:pStyle w:val="Heading2"/>
      </w:pPr>
      <w:r>
        <w:rPr>
          <w:color w:val="2E749B"/>
        </w:rPr>
        <w:t>2.1 财务红线组合判定</w:t>
      </w:r>
    </w:p>
    <w:p>
      <w:r>
        <w:rPr>
          <w:b w:val="0"/>
        </w:rPr>
        <w:t>扣非持续亏损，盈利面承压，但营收达标使其未触及财务红线组合，核心矛盾在造血能力修复。</w:t>
      </w:r>
    </w:p>
    <w:p>
      <w:pPr>
        <w:pStyle w:val="Heading2"/>
      </w:pPr>
      <w:r>
        <w:rPr>
          <w:color w:val="2E749B"/>
        </w:rPr>
        <w:t>2.2 现金流与盈利质量</w:t>
      </w:r>
    </w:p>
    <w:p>
      <w:r>
        <w:rPr>
          <w:b w:val="0"/>
        </w:rPr>
        <w:t>D1 现金流 0/4：经营现金流为负，资金链压力大。</w:t>
      </w:r>
    </w:p>
    <w:p>
      <w:r>
        <w:rPr>
          <w:b w:val="0"/>
        </w:rPr>
        <w:t>A3 扣非净利润 3/6：微利或微亏，盈利面中性。</w:t>
      </w:r>
    </w:p>
    <w:p>
      <w:pPr>
        <w:pStyle w:val="Heading1"/>
      </w:pPr>
      <w:r>
        <w:rPr>
          <w:color w:val="1A5276"/>
        </w:rPr>
        <w:t>三、股权结构分析</w:t>
      </w:r>
    </w:p>
    <w:p>
      <w:pPr>
        <w:pStyle w:val="Heading2"/>
      </w:pPr>
      <w:r>
        <w:rPr>
          <w:color w:val="2E749B"/>
        </w:rPr>
        <w:t>3.1 实控人属性（S1）</w:t>
      </w:r>
    </w:p>
    <w:p>
      <w:r>
        <w:rPr>
          <w:b w:val="0"/>
        </w:rPr>
        <w:t>实控人：上海市奉贤区国有资产监督管理委员会（市县国资）。S1 得分 8/12：市县国资实控，有地方国资信用兜底与资源协调能力。</w:t>
      </w:r>
    </w:p>
    <w:p>
      <w:pPr>
        <w:pStyle w:val="Heading2"/>
      </w:pPr>
      <w:r>
        <w:rPr>
          <w:color w:val="2E749B"/>
        </w:rPr>
        <w:t>3.2 股权质押与冻结（S2）</w:t>
      </w:r>
    </w:p>
    <w:p>
      <w:r>
        <w:rPr>
          <w:b w:val="0"/>
        </w:rPr>
        <w:t>S2 得分 0/6：高质押或冻结，控制权不稳风险突出。</w:t>
      </w:r>
    </w:p>
    <w:p>
      <w:pPr>
        <w:pStyle w:val="Heading2"/>
      </w:pPr>
      <w:r>
        <w:rPr>
          <w:color w:val="2E749B"/>
        </w:rPr>
        <w:t>3.3 控制权稳定性结论</w:t>
      </w:r>
    </w:p>
    <w:p>
      <w:r>
        <w:rPr>
          <w:b w:val="0"/>
        </w:rPr>
        <w:t>质押/冻结存在，控制权有潜在扰动，需跟踪平仓风险与司法处置进展。</w:t>
      </w:r>
    </w:p>
    <w:p>
      <w:pPr>
        <w:pStyle w:val="Heading1"/>
      </w:pPr>
      <w:r>
        <w:rPr>
          <w:color w:val="1A5276"/>
        </w:rPr>
        <w:t>四、司法诉讼与公告信号</w:t>
      </w:r>
    </w:p>
    <w:p>
      <w:pPr>
        <w:pStyle w:val="Heading2"/>
      </w:pPr>
      <w:r>
        <w:rPr>
          <w:color w:val="2E749B"/>
        </w:rPr>
        <w:t>4.1 立案与重大违法（B1）</w:t>
      </w:r>
    </w:p>
    <w:p>
      <w:r>
        <w:rPr>
          <w:b w:val="0"/>
        </w:rPr>
        <w:t>B1 得分 7/10：存在一般档行政处罚落地（无立案链条）或子公司被罚，非重大违法档。</w:t>
      </w:r>
    </w:p>
    <w:p>
      <w:pPr>
        <w:pStyle w:val="Heading2"/>
      </w:pPr>
      <w:r>
        <w:rPr>
          <w:color w:val="2E749B"/>
        </w:rPr>
        <w:t>4.2 审计质量（B2）</w:t>
      </w:r>
    </w:p>
    <w:p>
      <w:r>
        <w:rPr>
          <w:b w:val="0"/>
        </w:rPr>
        <w:t>B2 得分 12/12：标准无保留审计意见，审计面干净。</w:t>
      </w:r>
    </w:p>
    <w:p>
      <w:pPr>
        <w:pStyle w:val="Heading2"/>
      </w:pPr>
      <w:r>
        <w:rPr>
          <w:color w:val="2E749B"/>
        </w:rPr>
        <w:t>4.3 实控人司法风险（H1）</w:t>
      </w:r>
    </w:p>
    <w:p>
      <w:r>
        <w:rPr>
          <w:b w:val="0"/>
        </w:rPr>
        <w:t>H1 得分 0/4：实控人冻结/限高/立案，司法风险归零。</w:t>
      </w:r>
    </w:p>
    <w:p>
      <w:pPr>
        <w:pStyle w:val="Heading2"/>
      </w:pPr>
      <w:r>
        <w:rPr>
          <w:color w:val="2E749B"/>
        </w:rPr>
        <w:t>4.4 公告信号面（近24个月巨潮定向采集）</w:t>
      </w:r>
    </w:p>
    <w:p>
      <w:r>
        <w:rPr>
          <w:b w:val="0"/>
        </w:rPr>
        <w:t>近24个月无公告信号命中，监管与司法层面暂无新增事件。</w:t>
      </w:r>
    </w:p>
    <w:p>
      <w:pPr>
        <w:pStyle w:val="Heading1"/>
      </w:pPr>
      <w:r>
        <w:rPr>
          <w:color w:val="1A5276"/>
        </w:rPr>
        <w:t>五、退市风险研判与保壳路径</w:t>
      </w:r>
    </w:p>
    <w:p>
      <w:pPr>
        <w:pStyle w:val="Heading2"/>
      </w:pPr>
      <w:r>
        <w:rPr>
          <w:color w:val="2E749B"/>
        </w:rPr>
        <w:t>5.1 五通道退市风险矩阵</w:t>
      </w:r>
    </w:p>
    <w:p>
      <w:r>
        <w:rPr>
          <w:b w:val="0"/>
        </w:rPr>
        <w:t>V2以退市通道为维度，权重源自5年176家强制退市案例实证贡献度（交易类55%/财务32%/规范8%/违法5-9%）。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包含维度（得分/满分）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通道得分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通道满分</w:t>
            </w:r>
          </w:p>
        </w:tc>
        <w:tc>
          <w:tcPr>
            <w:tcW w:type="dxa" w:w="1728"/>
          </w:tcPr>
          <w:p>
            <w:r/>
            <w:r>
              <w:rPr>
                <w:b/>
                <w:sz w:val="18"/>
              </w:rPr>
              <w:t>状态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市场通道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C15/6、C24/8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财务红线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A16/10、A212/12、A33/6、D10/4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21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32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规范通道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B212/12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✅ 安全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违法通道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B17/10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👀 关注</w:t>
            </w:r>
          </w:p>
        </w:tc>
      </w:tr>
      <w:tr>
        <w:tc>
          <w:tcPr>
            <w:tcW w:type="dxa" w:w="1728"/>
          </w:tcPr>
          <w:p>
            <w:r/>
            <w:r>
              <w:rPr>
                <w:sz w:val="18"/>
              </w:rPr>
              <w:t>股东/治理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S18/12、S20/6、H10/4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22</w:t>
            </w:r>
          </w:p>
        </w:tc>
        <w:tc>
          <w:tcPr>
            <w:tcW w:type="dxa" w:w="1728"/>
          </w:tcPr>
          <w:p>
            <w:r/>
            <w:r>
              <w:rPr>
                <w:sz w:val="18"/>
              </w:rPr>
              <w:t>⚠️ 风险</w:t>
            </w:r>
          </w:p>
        </w:tc>
      </w:tr>
      <w:tr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纾困通道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F20/6、F10/4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1728"/>
            <w:shd w:val="clear" w:fill="EAF1F8"/>
          </w:tcPr>
          <w:p>
            <w:r/>
            <w:r>
              <w:rPr>
                <w:sz w:val="18"/>
              </w:rPr>
              <w:t>⚠️ 风险</w:t>
            </w:r>
          </w:p>
        </w:tc>
      </w:tr>
    </w:tbl>
    <w:p>
      <w:r>
        <w:rPr>
          <w:b w:val="0"/>
        </w:rPr>
        <w:t>风险通道：股东/治理、纾困通道——是当前最可能触发退市的路径，需优先跟踪。</w:t>
      </w:r>
    </w:p>
    <w:p>
      <w:pPr>
        <w:pStyle w:val="Heading2"/>
      </w:pPr>
      <w:r>
        <w:rPr>
          <w:color w:val="2E749B"/>
        </w:rPr>
        <w:t>5.2 保壳逻辑（模型解读）</w:t>
      </w:r>
    </w:p>
    <w:p>
      <w:r>
        <w:rPr>
          <w:b w:val="0"/>
        </w:rPr>
        <w:t>ST复华（600624）当前V2保壳评分 57 分（B级），全榜第 67 名。安全垫维度：C1面值距离、A2扣非主营收入、B2审计意见。实控人为市县国资（上海市奉贤区国有资产监督管理委员会），地方国资具备一定信用背书与资源协调能力。暂无重组/纾困信号，保壳主要依赖自身经营修复。市值29.82亿，接近基准壳费线，壳价值中性。</w:t>
      </w:r>
    </w:p>
    <w:p>
      <w:pPr>
        <w:pStyle w:val="Heading2"/>
      </w:pPr>
      <w:r>
        <w:rPr>
          <w:color w:val="2E749B"/>
        </w:rPr>
        <w:t>5.3 摘帽/保壳路径评估</w:t>
      </w:r>
    </w:p>
    <w:p>
      <w:r>
        <w:rPr>
          <w:b w:val="0"/>
        </w:rPr>
        <w:t>ST复华 当前评级 B 级。摘帽与否取决于短板维度修复：财务类看年报营收/扣非（A2/A3）、规范类看审计意见（B2）与立案进展（B1）、市场类看面值（C1）。具体抓手见第六章壳价值与第七章驱动压制。</w:t>
      </w:r>
    </w:p>
    <w:p>
      <w:pPr>
        <w:pStyle w:val="Heading1"/>
      </w:pPr>
      <w:r>
        <w:rPr>
          <w:color w:val="1A5276"/>
        </w:rPr>
        <w:t>六、资本运作成本与安全边际</w:t>
      </w:r>
    </w:p>
    <w:p>
      <w:pPr>
        <w:pStyle w:val="Heading2"/>
      </w:pPr>
      <w:r>
        <w:rPr>
          <w:color w:val="2E749B"/>
        </w:rPr>
        <w:t>6.1 壳价值锚定</w:t>
      </w:r>
    </w:p>
    <w:p>
      <w:r>
        <w:rPr>
          <w:b w:val="0"/>
        </w:rPr>
        <w:t>C2 壳价值得分 4/8：市值接近壳基准，平价区，壳价值中性。</w:t>
      </w:r>
    </w:p>
    <w:p>
      <w:pPr>
        <w:pStyle w:val="Heading2"/>
      </w:pPr>
      <w:r>
        <w:rPr>
          <w:color w:val="2E749B"/>
        </w:rPr>
        <w:t>6.2 并购成本与安全边际测算</w:t>
      </w:r>
    </w:p>
    <w:p>
      <w:r>
        <w:rPr>
          <w:b w:val="0"/>
        </w:rPr>
        <w:t>当前市值 29.82 亿元，对照壳基准 33.81 亿元（近2年154笔实控权变更市值中位数）：市值/基准 = 88%。处于折价/平价区，并购成本有吸引力或中性。</w:t>
      </w:r>
    </w:p>
    <w:p>
      <w:pPr>
        <w:pStyle w:val="Heading2"/>
      </w:pPr>
      <w:r>
        <w:rPr>
          <w:color w:val="2E749B"/>
        </w:rPr>
        <w:t>6.3 摸鱼视角</w:t>
      </w:r>
    </w:p>
    <w:p>
      <w:r>
        <w:rPr>
          <w:b w:val="0"/>
        </w:rPr>
        <w:t>摸鱼榜第 69 名，摸鱼指数 52.0（壳便宜分 47）。摸鱼指数=50%×V2保壳分+50%×壳便宜分，反映「保壳确定性 × 壳价吸引力」的综合博弈价值。</w:t>
      </w:r>
    </w:p>
    <w:p>
      <w:pPr>
        <w:pStyle w:val="Heading1"/>
      </w:pPr>
      <w:r>
        <w:rPr>
          <w:color w:val="1A5276"/>
        </w:rPr>
        <w:t>七、核心驱动与压制因素</w:t>
      </w:r>
    </w:p>
    <w:p>
      <w:pPr>
        <w:pStyle w:val="Heading2"/>
      </w:pPr>
      <w:r>
        <w:rPr>
          <w:color w:val="2E749B"/>
        </w:rPr>
        <w:t>7.1 保壳驱动因素</w:t>
      </w:r>
    </w:p>
    <w:p>
      <w:r>
        <w:rPr>
          <w:b w:val="0"/>
        </w:rPr>
        <w:t>C1 面值距离(5/6)、A2 扣非主营收入(12/12)、B2 审计意见(12/12)</w:t>
      </w:r>
    </w:p>
    <w:p>
      <w:pPr>
        <w:pStyle w:val="Heading2"/>
      </w:pPr>
      <w:r>
        <w:rPr>
          <w:color w:val="2E749B"/>
        </w:rPr>
        <w:t>7.2 风险压制因素</w:t>
      </w:r>
    </w:p>
    <w:p>
      <w:r>
        <w:rPr>
          <w:b w:val="0"/>
        </w:rPr>
        <w:t>C2 壳价值锚定(4/8)、S2 股权质押(0/6)、A3 扣非净利润(3/6)、D1 现金流(0/4)、F2 重组纾困(0/6)、F1 财务趋势(0/4)、H1 司法风险(0/4)</w:t>
      </w:r>
    </w:p>
    <w:p>
      <w:pPr>
        <w:pStyle w:val="Heading2"/>
      </w:pPr>
      <w:r>
        <w:rPr>
          <w:color w:val="2E749B"/>
        </w:rPr>
        <w:t>7.3 多空总结</w:t>
      </w:r>
    </w:p>
    <w:p>
      <w:r>
        <w:rPr>
          <w:b w:val="0"/>
        </w:rPr>
        <w:t>多头逻辑：C1 面值距离(5/6)；A2 扣非主营收入(12/12)。空头逻辑：C2 壳价值锚定(4/8)；S2 股权质押(0/6)。综合评级见第八章。</w:t>
      </w:r>
    </w:p>
    <w:p>
      <w:pPr>
        <w:pStyle w:val="Heading1"/>
      </w:pPr>
      <w:r>
        <w:rPr>
          <w:color w:val="1A5276"/>
        </w:rPr>
        <w:t>八、综合评级与落地策略</w:t>
      </w:r>
    </w:p>
    <w:p>
      <w:pPr>
        <w:pStyle w:val="Heading2"/>
      </w:pPr>
      <w:r>
        <w:rPr>
          <w:color w:val="2E749B"/>
        </w:rPr>
        <w:t>8.1 综合评级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项目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结果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V2保壳分 / 等级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57 分 / B 级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全榜排名 / 摸鱼排名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第 67 名 / 第 69 名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评级含义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保壳压力中等，个别维度存在失分，需跟踪下一报告期的修复情况。</w:t>
            </w:r>
          </w:p>
        </w:tc>
      </w:tr>
    </w:tbl>
    <w:p>
      <w:pPr>
        <w:pStyle w:val="Heading2"/>
      </w:pPr>
      <w:r>
        <w:rPr>
          <w:color w:val="2E749B"/>
        </w:rPr>
        <w:t>8.2 分层策略建议</w:t>
      </w:r>
    </w:p>
    <w:p>
      <w:r>
        <w:rPr>
          <w:b w:val="0"/>
        </w:rPr>
        <w:t>【持仓投资者】保壳压力可控，跟踪下一报告期短板维度修复情况。</w:t>
        <w:br/>
        <w:t>【场外资金】若参与壳价博弈，关注市值是否进入并购成本优势区（C2=8）。</w:t>
        <w:br/>
        <w:t>【产业方】评级越高保壳确定性越强，壳价交易的安全边际越大。</w:t>
      </w:r>
    </w:p>
    <w:p>
      <w:pPr>
        <w:pStyle w:val="Heading2"/>
      </w:pPr>
      <w:r>
        <w:rPr>
          <w:color w:val="2E749B"/>
        </w:rPr>
        <w:t>8.3 关键追踪时点</w:t>
      </w:r>
    </w:p>
    <w:p>
      <w:r>
        <w:rPr>
          <w:b w:val="0"/>
        </w:rPr>
        <w:t>· 年报窗口：下一报告期财务数据发布（营收/扣非/审计意见为核心变量）。</w:t>
        <w:br/>
        <w:t>· 公告信号：近24个月巨潮定向采集窗口内的立案/处罚/重组/重整公告。</w:t>
        <w:br/>
        <w:t>· 面值线：现价距1元面值退市线的距离变化（C1维度）。</w:t>
      </w:r>
    </w:p>
    <w:p>
      <w:pPr>
        <w:pStyle w:val="Heading1"/>
      </w:pPr>
      <w:r>
        <w:rPr>
          <w:color w:val="1A5276"/>
        </w:rPr>
        <w:t>九、附录</w:t>
      </w:r>
    </w:p>
    <w:p>
      <w:pPr>
        <w:pStyle w:val="Heading2"/>
      </w:pPr>
      <w:r>
        <w:rPr>
          <w:color w:val="2E749B"/>
        </w:rPr>
        <w:t>9.1 风险点清单</w:t>
      </w:r>
    </w:p>
    <w:p>
      <w:r>
        <w:rPr>
          <w:b/>
        </w:rPr>
        <w:t>风险源维度：C2壳价值锚定、S2股权质押、A3扣非净利润、D1现金流、F2重组纾困、F1财务趋势、H1司法风险。 经营现金流为负，资金链压力较大。 高质押或冻结，控制权稳定性风险突出。 实控人存在冻结/限高/立案，司法风险归零。</w:t>
      </w:r>
    </w:p>
    <w:p>
      <w:pPr>
        <w:pStyle w:val="Heading2"/>
      </w:pPr>
      <w:r>
        <w:rPr>
          <w:color w:val="2E749B"/>
        </w:rPr>
        <w:t>9.2 数据来源</w:t>
      </w:r>
    </w:p>
    <w:p>
      <w:r>
        <w:rPr>
          <w:b w:val="0"/>
        </w:rPr>
        <w:t>巨潮资讯网（公告信号定向采集，近24个月）、东方财富（财务/股权数据）、腾讯财经（行情快照）、中登（质押周报）。财务报告期 20251231，榜单生成 。</w:t>
      </w:r>
    </w:p>
    <w:p>
      <w:pPr>
        <w:pStyle w:val="Heading2"/>
      </w:pPr>
      <w:r>
        <w:rPr>
          <w:color w:val="2E749B"/>
        </w:rPr>
        <w:t>9.3 一页精简总结</w:t>
      </w:r>
    </w:p>
    <w:p>
      <w:r>
        <w:rPr>
          <w:b w:val="0"/>
        </w:rPr>
        <w:t>ST复华（600624）=V2评分 57 分/B级/全榜第67名，摸鱼第69名（指数52.0）。C1 面值距离(5/6)、A2 扣非主营收入(12/12)、B2 审计意见(12/12)为安全垫，C2 壳价值锚定(4/8)、S2 股权质押(0/6)、A3 扣非净利润(3/6)、D1 现金流(0/4)、F2 重组纾困(0/6)、F1 财务趋势(0/4)、H1 司法风险(0/4)为风险源。保壳压力中等，个别维度存在失分，需跟踪下一报告期的修复情况。（详见正文九章。）</w:t>
      </w:r>
    </w:p>
    <w:p>
      <w:pPr>
        <w:pStyle w:val="Heading2"/>
      </w:pPr>
      <w:r>
        <w:rPr>
          <w:color w:val="2E749B"/>
        </w:rPr>
        <w:t>9.4 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  <w:p>
            <w:r>
              <w:rPr>
                <w:color w:val="7F5A1D"/>
                <w:sz w:val="19"/>
              </w:rPr>
              <w:t>本报告为 V168+G 九章式深度结构 × V2 评分刻度：评分唯一口径为 ST保壳评分系统V2（十三维100分制），未使用 V168 六/八维评分，两套刻度语义不同，请勿与 V168 报告交叉比较。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本报告由ST保壳评分系统V2模型生成（V168+G九章式结构 · V2评分刻度），仅供参考，不构成任何投资建议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深度跟读报告｜ST复华（600624）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