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*ST明德</w:t>
        <w:br/>
        <w:t>002932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71 名 ｜ 摸鱼指数 51.5 ｜ V2保壳分 60 ｜ B级 ｜ 全榜第 48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*ST明德（002932）投资要点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级（全榜第 48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51.5 / 第 71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35.65 亿元 / 15.33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陈莉莉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实控人性质(3/12)、A2 扣非主营收入(3/12)、A3 扣非净利润(0/6)、D1 现金流(0/4)、F2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*ST明德（002932）当前V2保壳评分 60 分（B级），全榜第 48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002932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*ST明德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15.33 元 / 35.65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陈莉莉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单源出分，榜单分数=报告分数）。*ST明德 当前 60 分、B 级，全榜第 48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实控人：陈莉莉（民企(个人)）。S1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*ST明德（002932）当前V2保壳评分 60 分（B级），全榜第 48 名。安全垫维度：C1面值距离、S2股权质押、A1净资产、B1立案/造假、B2审计意见、H1司法风险。实控人为民企(个人)（陈莉莉），无国资兜底，保壳依赖自身资源与外部资本博弈。已有出售资产/债务豁免等保壳动作，但尚未形成重组级信号。市值35.65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*ST明德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35.65 亿元，对照壳基准 33.81 亿元（近2年154笔实控权变更市值中位数）：市值/基准 = 105%。高于壳基准，壳价不占优，安全边际一般。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71 名，摸鱼指数 51.5（壳便宜分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实控人性质(3/12)、A2 扣非主营收入(3/12)、A3 扣非净利润(0/6)、D1 现金流(0/4)、F2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48 名 / 第 71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风险源维度：C2壳价值锚定、S1实控人性质、A2扣非主营收入、A3扣非净利润、D1现金流、F2重组纾困、F1财务趋势。 营收未达标且扣非亏损，已触及「营收&lt;红线+亏损」财务类退市红线组合。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*ST明德（002932）=V2评分 60 分/B级/全榜第48名，摸鱼第71名（指数51.5）。C1 面值距离(6/6)、S2 股权质押(6/6)、A1 净资产(10/10)、B1 立案/造假(10/10)、B2 审计意见(12/12)、H1 司法风险(4/4)为安全垫，C2 壳价值锚定(2/8)、S1 实控人性质(3/12)、A2 扣非主营收入(3/12)、A3 扣非净利润(0/6)、D1 现金流(0/4)、F2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深度跟读报告｜*ST明德（002932）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