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*ST未名</w:t>
        <w:br/>
        <w:t>002581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74 名 ｜ 摸鱼指数 51.0 ｜ V2保壳分 58 ｜ B级 ｜ 全榜第 61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*ST未名（002581）投资要点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级（全榜第 61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51.0 / 第 74 名（壳便宜分 44）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34.44 亿元 / 5.22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实控人性质(3/12)、A2 扣非主营收入(6/12)、A3 扣非净利润(0/6)、D1 现金流(0/4)、F2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*ST未名（002581）当前V2保壳评分 58 分（B级），全榜第 61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002581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*ST未名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5.22 元 / 34.44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单源出分，榜单分数=报告分数）。*ST未名 当前 58 分、B 级，全榜第 61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实控人：刘祥（民企(个人)）。S1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*ST未名（002581）当前V2保壳评分 58 分（B级），全榜第 61 名。安全垫维度：C1面值距离、S2股权质押、A1净资产、B1立案/造假、H1司法风险。实控人为民企(个人)（刘祥），无国资兜底，保壳依赖自身资源与外部资本博弈。暂无重组/纾困信号，保壳主要依赖自身经营修复。市值34.44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*ST未名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34.44 亿元，对照壳基准 33.81 亿元（近2年154笔实控权变更市值中位数）：市值/基准 = 102%。高于壳基准，壳价不占优，安全边际一般。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74 名，摸鱼指数 51.0（壳便宜分 44）。摸鱼指数=50%×V2保壳分+50%×壳便宜分，反映「保壳确定性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实控人性质(3/12)、A2 扣非主营收入(6/12)、A3 扣非净利润(0/6)、D1 现金流(0/4)、F2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61 名 / 第 74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风险源维度：C2壳价值锚定、S1实控人性质、A2扣非主营收入、A3扣非净利润、D1现金流、F2重组纾困、F1财务趋势。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*ST未名（002581）=V2评分 58 分/B级/全榜第61名，摸鱼第74名（指数51.0）。C1 面值距离(6/6)、S2 股权质押(6/6)、A1 净资产(10/10)、B1 立案/造假(10/10)、H1 司法风险(4/4)为安全垫，C2 壳价值锚定(2/8)、S1 实控人性质(3/12)、A2 扣非主营收入(6/12)、A3 扣非净利润(0/6)、D1 现金流(0/4)、F2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深度跟读报告｜*ST未名（002581）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