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*ST九鼎</w:t>
        <w:br/>
        <w:t>600053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75 名 ｜ 摸鱼指数 51.0 ｜ V2保壳分 57 ｜ B级 ｜ 全榜第 65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*ST九鼎（600053）投资要点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级（全榜第 65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51.0 / 第 75 名（壳便宜分 45）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33.60 亿元 / 7.75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蔡蕾,黄晓捷,覃正宇,吴刚,吴强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股权质押(2/6)、A2 扣非主营收入(6/12)、A3 扣非净利润(0/6)、D1 现金流(0/4)、F2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*ST九鼎（600053）当前V2保壳评分 57 分（B级），全榜第 65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600053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*ST九鼎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7.75 元 / 33.60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蔡蕾,黄晓捷,覃正宇,吴刚,吴强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单源出分，榜单分数=报告分数）。*ST九鼎 当前 57 分、B 级，全榜第 65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S13/12、S22/6、H14/4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实控人：蔡蕾,黄晓捷,覃正宇,吴刚,吴强（民企(法人)）。S1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2/6：高质押或冻结，控制权不稳风险突出。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S13/12、S22/6、H14/4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*ST九鼎（600053）当前V2保壳评分 57 分（B级），全榜第 65 名。安全垫维度：C1面值距离、A1净资产、B1立案/造假、B2审计意见、H1司法风险。实控人为民企(法人)（蔡蕾,黄晓捷,覃正宇,吴刚,吴强），无国资兜底，保壳依赖自身资源与外部资本博弈。暂无重组/纾困信号，保壳主要依赖自身经营修复。市值33.60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*ST九鼎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33.60 亿元，对照壳基准 33.81 亿元（近2年154笔实控权变更市值中位数）：市值/基准 = 99%。处于折价/平价区，并购成本有吸引力或中性。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75 名，摸鱼指数 51.0（壳便宜分 45）。摸鱼指数=50%×V2保壳分+50%×壳便宜分，反映「保壳确定性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股权质押(2/6)、A2 扣非主营收入(6/12)、A3 扣非净利润(0/6)、D1 现金流(0/4)、F2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65 名 / 第 75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风险源维度：C2壳价值锚定、S1实控人性质、S2股权质押、A2扣非主营收入、A3扣非净利润、D1现金流、F2重组纾困、F1财务趋势。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*ST九鼎（600053）=V2评分 57 分/B级/全榜第65名，摸鱼第75名（指数51.0）。C1 面值距离(6/6)、A1 净资产(10/10)、B1 立案/造假(10/10)、B2 审计意见(12/12)、H1 司法风险(4/4)为安全垫，C2 壳价值锚定(4/8)、S1 实控人性质(3/12)、S2 股权质押(2/6)、A2 扣非主营收入(6/12)、A3 扣非净利润(0/6)、D1 现金流(0/4)、F2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深度跟读报告｜*ST九鼎（600053）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