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ST明诚</w:t>
        <w:br/>
        <w:t>600136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76 名 ｜ 摸鱼指数 51.0 ｜ V2保壳分 55 ｜ B级 ｜ 全榜第 81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ST明诚（600136）投资要点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级（全榜第 81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51.0 / 第 76 名（壳便宜分 47）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30.00 亿元 / 1.47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湖北省人民政府国有资产监督管理委员会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综合评级：B级（55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风险源维度：C1 面值距离(1/6)、C2 壳价值锚定(4/8)、S2 股权质押(0/6)、A3 扣非净利润(3/6)、D1 现金流(0/4)、F2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股价贴近或跌破1元面值线，面值退市危机显著。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ST明诚（600136）当前V2保壳评分 55 分（B级），全榜第 81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600136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ST明诚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1.47 元 / 30.00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湖北省人民政府国有资产监督管理委员会 / 省级国资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81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单源出分，榜单分数=报告分数）。ST明诚 当前 55 分、B 级，全榜第 81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实控人：湖北省人民政府国有资产监督管理委员会（省级国资）。S1 得分 10/12：国资实控（央企或省级国资委），保壳兜底能力与信用资源为最高档。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国资实控且质押风险低，控制权稳定，具备保壳兜底能力。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C11/6、C24/8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S110/12、S20/6、H10/4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ST明诚（600136）当前V2保壳评分 55 分（B级），全榜第 81 名。安全垫维度：S1实控人性质、A2扣非主营收入、B2审计意见。实控人为省级国资（湖北省人民政府国有资产监督管理委员会），具备省级政府信用背书与资源整合能力。暂无重组/纾困信号，保壳主要依赖自身经营修复。市值30.00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ST明诚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30.00 亿元，对照壳基准 33.81 亿元（近2年154笔实控权变更市值中位数）：市值/基准 = 89%。处于折价/平价区，并购成本有吸引力或中性。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76 名，摸鱼指数 51.0（壳便宜分 47）。摸鱼指数=50%×V2保壳分+50%×壳便宜分，反映「保壳确定性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S1 实控人性质(10/12)、A2 扣非主营收入(12/12)、B2 审计意见(12/12)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C1 面值距离(1/6)、C2 壳价值锚定(4/8)、S2 股权质押(0/6)、A3 扣非净利润(3/6)、D1 现金流(0/4)、F2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多头逻辑：S1 实控人性质(10/12)；A2 扣非主营收入(12/12)。空头逻辑：C1 面值距离(1/6)；C2 壳价值锚定(4/8)。综合评级见第八章。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55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81 名 / 第 76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风险源维度：C1面值距离、C2壳价值锚定、S2股权质押、A3扣非净利润、D1现金流、F2重组纾困、F1财务趋势、H1司法风险。 股价贴近或跌破1元面值线（C1≤1），面值退市危机显著。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ST明诚（600136）=V2评分 55 分/B级/全榜第81名，摸鱼第76名（指数51.0）。S1 实控人性质(10/12)、A2 扣非主营收入(12/12)、B2 审计意见(12/12)为安全垫，C1 面值距离(1/6)、C2 壳价值锚定(4/8)、S2 股权质押(0/6)、A3 扣非净利润(3/6)、D1 现金流(0/4)、F2 重组纾困(0/6)、F1 财务趋势(0/4)、H1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深度跟读报告｜ST明诚（600136）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