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*ST天箭</w:t>
        <w:br/>
        <w:t>002977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80 名 ｜ 摸鱼指数 50.5 ｜ V2保壳分 51 ｜ B级 ｜ 全榜第 95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*ST天箭（002977）投资要点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51 分 / B 级（全榜第 95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50.5 / 第 80 名（壳便宜分 50）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25.19 亿元 / 20.97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楼继勇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综合评级：B级（51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风险源维度：S1 实控人性质(3/12)、A2 扣非主营收入(0/12)、A3 扣非净利润(0/6)、D1 现金流(0/4)、B2 审计意见(6/12)、F2 重组纾困(0/6)、F1 财务趋势(2/4)，是主要失分区。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*ST天箭（002977）当前V2保壳评分 51 分（B级），全榜第 95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002977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*ST天箭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20.97 元 / 25.19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楼继勇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95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单源出分，榜单分数=报告分数）。*ST天箭 当前 51 分、B 级，全榜第 95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A18/10、A20/12、A30/6、D10/4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营收严重不达标（接近0或微收），财务类退市风险极端。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已触及「营收&lt;红线+亏损」财务类退市红线组合——这是V2体系中最高优先级的财务退市信号，年报后触发*ST/退市风险高。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实控人：楼继勇（民企(个人)）。S1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A18/10、A20/12、A30/6、D10/4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风险通道：财务红线、规范通道、纾困通道——是当前最可能触发退市的路径，需优先跟踪。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*ST天箭（002977）当前V2保壳评分 51 分（B级），全榜第 95 名。安全垫维度：C1面值距离、S2股权质押、A1净资产、B1立案/造假、H1司法风险。实控人为民企(个人)（楼继勇），无国资兜底，保壳依赖自身资源与外部资本博弈。暂无重组/纾困信号，保壳主要依赖自身经营修复。市值25.19亿，处于基准壳费线5~8折折价区，并购成本有吸引力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*ST天箭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6/8：市值处于壳基准5折~8折折价区，并购成本有吸引力。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25.19 亿元，对照壳基准 33.81 亿元（近2年154笔实控权变更市值中位数）：市值/基准 = 75%。处于折价/平价区，并购成本有吸引力或中性。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80 名，摸鱼指数 50.5（壳便宜分 50）。摸鱼指数=50%×V2保壳分+50%×壳便宜分，反映「保壳确定性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面值距离(6/6)、S2 股权质押(6/6)、A1 净资产(8/10)、B1 立案/造假(10/10)、H1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S1 实控人性质(3/12)、A2 扣非主营收入(0/12)、A3 扣非净利润(0/6)、D1 现金流(0/4)、B2 审计意见(6/12)、F2 重组纾困(0/6)、F1 财务趋势(2/4)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面值距离(6/6)；S2 股权质押(6/6)。空头逻辑：S1 实控人性质(3/12)；A2 扣非主营收入(0/12)。综合评级见第八章。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51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95 名 / 第 80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风险源维度：S1实控人性质、A2扣非主营收入、A3扣非净利润、D1现金流、B2审计意见、F2重组纾困、F1财务趋势。 营收未达标且扣非亏损，已触及「营收&lt;红线+亏损」财务类退市红线组合。 经营现金流为负，资金链压力较大。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*ST天箭（002977）=V2评分 51 分/B级/全榜第95名，摸鱼第80名（指数50.5）。C1 面值距离(6/6)、S2 股权质押(6/6)、A1 净资产(8/10)、B1 立案/造假(10/10)、H1 司法风险(4/4)为安全垫，S1 实控人性质(3/12)、A2 扣非主营收入(0/12)、A3 扣非净利润(0/6)、D1 现金流(0/4)、B2 审计意见(6/12)、F2 重组纾困(0/6)、F1 财务趋势(2/4)为风险源。保壳压力中等，个别维度存在失分，需跟踪下一报告期的修复情况。（详见正文九章。）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深度跟读报告｜*ST天箭（002977）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