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ST绝味</w:t>
        <w:br/>
        <w:t>603517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81 名 ｜ 摸鱼指数 50.0 ｜ V2保壳分 70 ｜ B级 ｜ 全榜第 9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ST绝味（603517）投资要点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70 分 / B 级（全榜第 9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50.0 / 第 81 名（壳便宜分 30）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69.14 亿元 / 11.41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戴文军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综合评级：B级（70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壳价值锚定(0/8)、S1 实控人性质(3/12)、F2 重组纾困(0/6)、F1 财务趋势(0/4)，是主要失分区。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ST绝味（603517）当前V2保壳评分 70 分（B级），全榜第 9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603517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ST绝味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11.41 元 / 69.14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戴文军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9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单源出分，榜单分数=报告分数）。ST绝味 当前 70 分、B 级，全榜第 9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财务四维均达标，未触及财务类退市红线，主业造血正常。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6/6：扣非净利润为正，主业造血正常，盈利面无退市压力。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实控人：戴文军（民企(个人)）。S1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7/10：存在一般档行政处罚落地（无立案链条）或子公司被罚，非重大违法档。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ST绝味（603517）当前V2保壳评分 70 分（B级），全榜第 9 名。安全垫维度：C1面值距离、S2股权质押、A1净资产、A2扣非主营收入、A3扣非净利润、D1现金流、B2审计意见、H1司法风险。实控人为民企(个人)（戴文军），无国资兜底，保壳依赖自身资源与外部资本博弈。暂无重组/纾困信号，保壳主要依赖自身经营修复。市值69.14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ST绝味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0/8：市值显著高于壳基准，壳价值无优势。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69.14 亿元，对照壳基准 33.81 亿元（近2年154笔实控权变更市值中位数）：市值/基准 = 204%。高于壳基准，壳价不占优，安全边际一般。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81 名，摸鱼指数 50.0（壳便宜分 30）。摸鱼指数=50%×V2保壳分+50%×壳便宜分，反映「保壳确定性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面值距离(6/6)、S2 股权质押(6/6)、A1 净资产(10/10)、A2 扣非主营收入(12/12)、A3 扣非净利润(6/6)、D1 现金流(4/4)、B2 审计意见(12/12)、H1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壳价值锚定(0/8)、S1 实控人性质(3/12)、F2 重组纾困(0/6)、F1 财务趋势(0/4)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面值距离(6/6)；S2 股权质押(6/6)。空头逻辑：C2 壳价值锚定(0/8)；S1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70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9 名 / 第 81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风险源维度：C2壳价值锚定、S1实控人性质、F2重组纾困、F1财务趋势。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ST绝味（603517）=V2评分 70 分/B级/全榜第9名，摸鱼第81名（指数50.0）。C1 面值距离(6/6)、S2 股权质押(6/6)、A1 净资产(10/10)、A2 扣非主营收入(12/12)、A3 扣非净利润(6/6)、D1 现金流(4/4)、B2 审计意见(12/12)、H1 司法风险(4/4)为安全垫，C2 壳价值锚定(0/8)、S1 实控人性质(3/12)、F2 重组纾困(0/6)、F1 财务趋势(0/4)为风险源。保壳压力中等，个别维度存在失分，需跟踪下一报告期的修复情况。（详见正文九章。）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深度跟读报告｜ST绝味（603517）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