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*ST天宜</w:t>
        <w:br/>
        <w:t>688033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83 名 ｜ 摸鱼指数 50.0 ｜ V2保壳分 56 ｜ B级 ｜ 全榜第 70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*ST天宜（688033）投资要点</w:t>
      </w:r>
    </w:p>
    <w:p>
      <w:pPr>
        <w:jc w:val="center"/>
      </w:pPr>
      <w:r>
        <w:rPr>
          <w:color w:val="666666"/>
          <w:sz w:val="20"/>
        </w:rPr>
        <w:t>科创板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级（全榜第 70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50.0 / 第 83 名（壳便宜分 44）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34.41 亿元 / 6.12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吴佩芳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实控人性质(3/12)、S2 股权质押(0/6)、A3 扣非净利润(0/6)、B1 立案/造假(4/10)、F1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*ST天宜（688033）当前V2保壳评分 56 分（B级），全榜第 70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688033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*ST天宜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科创板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6.12 元 / 34.41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吴佩芳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70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单源出分，榜单分数=报告分数）。*ST天宜 当前 56 分、B 级，全榜第 70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实控人：吴佩芳（民企(个人)）。S1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风险通道：违法通道、股东/治理——是当前最可能触发退市的路径，需优先跟踪。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*ST天宜（688033）当前V2保壳评分 56 分（B级），全榜第 70 名。安全垫维度：C1面值距离、A1净资产、A2扣非主营收入、D1现金流。实控人为民企(个人)（吴佩芳），无国资兜底，保壳依赖自身资源与外部资本博弈。重组/预重整正在推进，保壳有实质抓手。市值34.41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*ST天宜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34.41 亿元，对照壳基准 33.81 亿元（近2年154笔实控权变更市值中位数）：市值/基准 = 102%。高于壳基准，壳价不占优，安全边际一般。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83 名，摸鱼指数 50.0（壳便宜分 44）。摸鱼指数=50%×V2保壳分+50%×壳便宜分，反映「保壳确定性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实控人性质(3/12)、S2 股权质押(0/6)、A3 扣非净利润(0/6)、B1 立案/造假(4/10)、F1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壳价值锚定(2/8)；S1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70 名 / 第 83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风险源维度：C2壳价值锚定、S1实控人性质、S2股权质押、A3扣非净利润、B1立案/造假、F1财务趋势、H1司法风险。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*ST天宜（688033）=V2评分 56 分/B级/全榜第70名，摸鱼第83名（指数50.0）。C1 面值距离(6/6)、A1 净资产(10/10)、A2 扣非主营收入(12/12)、D1 现金流(4/4)为安全垫，C2 壳价值锚定(2/8)、S1 实控人性质(3/12)、S2 股权质押(0/6)、A3 扣非净利润(0/6)、B1 立案/造假(4/10)、F1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深度跟读报告｜*ST天宜（688033）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