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ST万邦</w:t>
        <w:br/>
        <w:t>002082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84 名 ｜ 摸鱼指数 49.5 ｜ V2保壳分 66 ｜ B级 ｜ 全榜第 20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ST万邦（002082）投资要点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66 分 / B 级（全榜第 20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49.5 / 第 84 名（壳便宜分 33）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58.91 亿元 / 9.63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赵守明,庄惠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综合评级：B级（66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壳价值锚定(0/8)、S1 实控人性质(3/12)、A3 扣非净利润(3/6)、B2 审计意见(6/12)、F2 重组纾困(0/6)，是主要失分区。</w:t>
      </w:r>
    </w:p>
    <w:p>
      <w:r>
        <w:rPr>
          <w:b w:val="0"/>
          <w:sz w:val="20"/>
        </w:rPr>
        <w:t>2. 暂无重组/纾困级正向信号，保壳依赖自身经营修复。</w:t>
      </w:r>
    </w:p>
    <w:p>
      <w:r>
        <w:rPr>
          <w:b w:val="0"/>
          <w:sz w:val="20"/>
        </w:rPr>
        <w:t>3. 需持续跟踪年报审计意见、立案进展与公告信号（近24个月巨潮定向采集）。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ST万邦（002082）当前V2保壳评分 66 分（B级），全榜第 20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002082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ST万邦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9.63 元 / 58.91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赵守明,庄惠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20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单源出分，榜单分数=报告分数）。ST万邦 当前 66 分、B 级，全榜第 20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S13/12、S24/6、H14/4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实控人：赵守明,庄惠（民企(法人)）。S1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4/6：质押或冻结存在（历史口径缺失取中性档），控制权有潜在扰动。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S13/12、S24/6、H14/4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风险通道：市场通道、规范通道、股东/治理、纾困通道——是当前最可能触发退市的路径，需优先跟踪。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ST万邦（002082）当前V2保壳评分 66 分（B级），全榜第 20 名。安全垫维度：C1面值距离、A1净资产、A2扣非主营收入、D1现金流、B1立案/造假、F1财务趋势、H1司法风险。实控人为民企(法人)（赵守明,庄惠），无国资兜底，保壳依赖自身资源与外部资本博弈。暂无重组/纾困信号，保壳主要依赖自身经营修复。市值58.91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ST万邦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0/8：市值显著高于壳基准，壳价值无优势。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58.91 亿元，对照壳基准 33.81 亿元（近2年154笔实控权变更市值中位数）：市值/基准 = 174%。高于壳基准，壳价不占优，安全边际一般。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84 名，摸鱼指数 49.5（壳便宜分 33）。摸鱼指数=50%×V2保壳分+50%×壳便宜分，反映「保壳确定性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面值距离(6/6)、A1 净资产(10/10)、A2 扣非主营收入(12/12)、D1 现金流(4/4)、B1 立案/造假(10/10)、F1 财务趋势(4/4)、H1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壳价值锚定(0/8)、S1 实控人性质(3/12)、A3 扣非净利润(3/6)、B2 审计意见(6/12)、F2 重组纾困(0/6)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面值距离(6/6)；A1 净资产(10/10)。空头逻辑：C2 壳价值锚定(0/8)；S1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66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20 名 / 第 84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风险源维度：C2壳价值锚定、S1实控人性质、A3扣非净利润、B2审计意见、F2重组纾困。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ST万邦（002082）=V2评分 66 分/B级/全榜第20名，摸鱼第84名（指数49.5）。C1 面值距离(6/6)、A1 净资产(10/10)、A2 扣非主营收入(12/12)、D1 现金流(4/4)、B1 立案/造假(10/10)、F1 财务趋势(4/4)、H1 司法风险(4/4)为安全垫，C2 壳价值锚定(0/8)、S1 实控人性质(3/12)、A3 扣非净利润(3/6)、B2 审计意见(6/12)、F2 重组纾困(0/6)为风险源。保壳压力中等，个别维度存在失分，需跟踪下一报告期的修复情况。（详见正文九章。）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深度跟读报告｜ST万邦（002082）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