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ST亚光</w:t>
        <w:br/>
        <w:t>300123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86 名 ｜ 摸鱼指数 49.0 ｜ V2保壳分 60 ｜ B级 ｜ 全榜第 49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ST亚光（300123）投资要点</w:t>
      </w:r>
    </w:p>
    <w:p>
      <w:pPr>
        <w:jc w:val="center"/>
      </w:pPr>
      <w:r>
        <w:rPr>
          <w:color w:val="666666"/>
          <w:sz w:val="20"/>
        </w:rPr>
        <w:t>创业板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 分 / B 级（全榜第 49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49.0 / 第 86 名（壳便宜分 38）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46.08 亿元 / 4.51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李跃先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壳价值锚定(2/8)、S1 实控人性质(3/12)、A3 扣非净利润(3/6)、D1 现金流(0/4)、B2 审计意见(6/12)、F1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ST亚光（300123）当前V2保壳评分 60 分（B级），全榜第 49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300123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ST亚光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4.51 元 / 46.08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李跃先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49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单源出分，榜单分数=报告分数）。ST亚光 当前 60 分、B 级，全榜第 49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A18/10、A29/12、A33/6、D10/4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实控人：李跃先（民企(个人)）。S1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A18/10、A29/12、A33/6、D10/4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风险通道：市场通道、规范通道、纾困通道——是当前最可能触发退市的路径，需优先跟踪。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ST亚光（300123）当前V2保壳评分 60 分（B级），全榜第 49 名。安全垫维度：C1面值距离、S2股权质押、A1净资产、B1立案/造假、H1司法风险。实控人为民企(个人)（李跃先），无国资兜底，保壳依赖自身资源与外部资本博弈。重组/预重整正在推进，保壳有实质抓手。市值46.08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ST亚光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46.08 亿元，对照壳基准 33.81 亿元（近2年154笔实控权变更市值中位数）：市值/基准 = 136%。高于壳基准，壳价不占优，安全边际一般。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86 名，摸鱼指数 49.0（壳便宜分 38）。摸鱼指数=50%×V2保壳分+50%×壳便宜分，反映「保壳确定性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面值距离(5/6)、S2 股权质押(6/6)、A1 净资产(8/10)、B1 立案/造假(10/10)、H1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壳价值锚定(2/8)、S1 实控人性质(3/12)、A3 扣非净利润(3/6)、D1 现金流(0/4)、B2 审计意见(6/12)、F1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面值距离(5/6)；S2 股权质押(6/6)。空头逻辑：C2 壳价值锚定(2/8)；S1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49 名 / 第 86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风险源维度：C2壳价值锚定、S1实控人性质、A3扣非净利润、D1现金流、B2审计意见、F1财务趋势。 经营现金流为负，资金链压力较大。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ST亚光（300123）=V2评分 60 分/B级/全榜第49名，摸鱼第86名（指数49.0）。C1 面值距离(5/6)、S2 股权质押(6/6)、A1 净资产(8/10)、B1 立案/造假(10/10)、H1 司法风险(4/4)为安全垫，C2 壳价值锚定(2/8)、S1 实控人性质(3/12)、A3 扣非净利润(3/6)、D1 现金流(0/4)、B2 审计意见(6/12)、F1 财务趋势(0/4)为风险源。保壳压力中等，个别维度存在失分，需跟踪下一报告期的修复情况。（详见正文九章。）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深度跟读报告｜ST亚光（300123）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