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*ST京化</w:t>
        <w:br/>
        <w:t>600889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92 名 ｜ 摸鱼指数 47.5 ｜ V2保壳分 68 ｜ B级 ｜ 全榜第 15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*ST京化（600889）投资要点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 分 / B 级（全榜第 15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47.5 / 第 92 名（壳便宜分 27）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78.78 亿元 / 13.43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南京市人民政府国有资产监督管理委员会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壳价值锚定(0/8)、A2 扣非主营收入(6/12)、A3 扣非净利润(0/6)、D1 现金流(0/4)、F2 重组纾困(2/6)，是主要失分区。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*ST京化（600889）当前V2保壳评分 68 分（B级），全榜第 15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600889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*ST京化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13.43 元 / 78.78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南京市人民政府国有资产监督管理委员会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单源出分，榜单分数=报告分数）。*ST京化 当前 68 分、B 级，全榜第 15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实控人：南京市人民政府国有资产监督管理委员会（市县国资）。S1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风险通道：市场通道、财务红线——是当前最可能触发退市的路径，需优先跟踪。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*ST京化（600889）当前V2保壳评分 68 分（B级），全榜第 15 名。安全垫维度：C1面值距离、S2股权质押、A1净资产、B1立案/造假、B2审计意见、F1财务趋势、H1司法风险。实控人为市县国资（南京市人民政府国有资产监督管理委员会），地方国资具备一定信用背书与资源协调能力。已有出售资产/债务豁免等保壳动作，但尚未形成重组级信号。市值78.78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*ST京化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78.78 亿元，对照壳基准 33.81 亿元（近2年154笔实控权变更市值中位数）：市值/基准 = 233%。高于壳基准，壳价不占优，安全边际一般。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92 名，摸鱼指数 47.5（壳便宜分 27）。摸鱼指数=50%×V2保壳分+50%×壳便宜分，反映「保壳确定性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净资产(10/10)、B1 立案/造假(10/10)、B2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壳价值锚定(0/8)、A2 扣非主营收入(6/12)、A3 扣非净利润(0/6)、D1 现金流(0/4)、F2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壳价值锚定(0/8)；A2 扣非主营收入(6/12)。综合评级见第八章。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 名 / 第 92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风险源维度：C2壳价值锚定、A2扣非主营收入、A3扣非净利润、D1现金流、F2重组纾困。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*ST京化（600889）=V2评分 68 分/B级/全榜第15名，摸鱼第92名（指数47.5）。C1 面值距离(6/6)、S2 股权质押(6/6)、A1 净资产(10/10)、B1 立案/造假(10/10)、B2 审计意见(12/12)、F1 财务趋势(4/4)、H1 司法风险(4/4)为安全垫，C2 壳价值锚定(0/8)、A2 扣非主营收入(6/12)、A3 扣非净利润(0/6)、D1 现金流(0/4)、F2 重组纾困(2/6)为风险源。保壳压力中等，个别维度存在失分，需跟踪下一报告期的修复情况。（详见正文九章。）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深度跟读报告｜*ST京化（600889）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