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ST美克</w:t>
        <w:br/>
        <w:t>600337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93 名 ｜ 摸鱼指数 47.0 ｜ V2保壳分 55 ｜ B级 ｜ 全榜第 75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ST美克（600337）投资要点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75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47.0 / 第 93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44.69 亿元 / 3.11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冯东明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股权质押(0/6)、A3 扣非净利润(3/6)、D1 现金流(2/4)、B2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ST美克（600337）当前V2保壳评分 55 分（B级），全榜第 75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600337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ST美克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3.11 元 / 44.69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冯东明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单源出分，榜单分数=报告分数）。ST美克 当前 55 分、B 级，全榜第 75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实控人：冯东明（民企(个人)）。S1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ST美克（600337）当前V2保壳评分 55 分（B级），全榜第 75 名。安全垫维度：C1面值距离、A1净资产、A2扣非主营收入、B1立案/造假。实控人为民企(个人)（冯东明），无国资兜底，保壳依赖自身资源与外部资本博弈。重组/预重整正在推进，保壳有实质抓手。市值44.69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ST美克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44.69 亿元，对照壳基准 33.81 亿元（近2年154笔实控权变更市值中位数）：市值/基准 = 132%。高于壳基准，壳价不占优，安全边际一般。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93 名，摸鱼指数 47.0（壳便宜分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股权质押(0/6)、A3 扣非净利润(3/6)、D1 现金流(2/4)、B2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75 名 / 第 93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ST美克（600337）=V2评分 55 分/B级/全榜第75名，摸鱼第93名（指数47.0）。C1 面值距离(5/6)、A1 净资产(8/10)、A2 扣非主营收入(12/12)、B1 立案/造假(10/10)为安全垫，C2 壳价值锚定(2/8)、S1 实控人性质(3/12)、S2 股权质押(0/6)、A3 扣非净利润(3/6)、D1 现金流(2/4)、B2 审计意见(6/12)、F1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深度跟读报告｜ST美克（600337）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