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ST瀚川</w:t>
        <w:br/>
        <w:t>688022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94 名 ｜ 摸鱼指数 46.8 ｜ V2保壳分 50 ｜ C级 ｜ 全榜第 102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ST瀚川（688022）投资要点</w:t>
      </w:r>
    </w:p>
    <w:p>
      <w:pPr>
        <w:jc w:val="center"/>
      </w:pPr>
      <w:r>
        <w:rPr>
          <w:color w:val="666666"/>
          <w:sz w:val="20"/>
        </w:rPr>
        <w:t>科创板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46.8 / 第 94 名（壳便宜分 60）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15.60 亿元 / 8.87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蔡昌蔚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现金流(0/4)、B2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ST瀚川（688022）当前V2保壳评分 50 分（C级），全榜第 102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688022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ST瀚川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8.87 元 / 15.60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蔡昌蔚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单源出分，榜单分数=报告分数）。ST瀚川 当前 50 分、C 级，全榜第 102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实控人：蔡昌蔚（民企(个人)）。S1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ST瀚川（688022）当前V2保壳评分 50 分（C级），全榜第 102 名。安全垫维度：C1面值距离、C2壳价值锚定、A1净资产、A2扣非主营收入、B1立案/造假。实控人为民企(个人)（蔡昌蔚），无国资兜底，保壳依赖自身资源与外部资本博弈。暂无重组/纾困信号，保壳主要依赖自身经营修复。市值15.60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ST瀚川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15.60 亿元，对照壳基准 33.81 亿元（近2年154笔实控权变更市值中位数）：市值/基准 = 46%。处于并购/借壳成本优势区——壳越便宜，重组方入场成本越低，被并购概率上升。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94 名，摸鱼指数 46.8（壳便宜分 60）。摸鱼指数=50%×V2保壳分+50%×壳便宜分，反映「保壳确定性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壳价值锚定(8/8)、A1 净资产(8/10)、A2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现金流(0/4)、B2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102 名 / 第 94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ST瀚川（688022）=V2评分 50 分/C级/全榜第102名，摸鱼第94名（指数46.8）。C1 面值距离(6/6)、C2 壳价值锚定(8/8)、A1 净资产(8/10)、A2 扣非主营收入(12/12)、B1 立案/造假(10/10)为安全垫，S1 实控人性质(3/12)、S2 股权质押(0/6)、A3 扣非净利润(3/6)、D1 现金流(0/4)、B2 审计意见(0/12)、F2 重组纾困(0/6)、F1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深度跟读报告｜ST瀚川（688022）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