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ST海龙</w:t>
        <w:br/>
        <w:t>000677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95 名 ｜ 摸鱼指数 46.8 ｜ V2保壳分 50 ｜ C级 ｜ 全榜第 103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ST海龙（000677）投资要点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46.8 / 第 95 名（壳便宜分 60）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15.98 亿元 / 1.85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胡兴荣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实控人性质(3/12)、D1 现金流(2/4)、B2 审计意见(0/12)、F2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ST海龙（000677）当前V2保壳评分 50 分（C级），全榜第 103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000677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ST海龙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1.85 元 / 15.98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胡兴荣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单源出分，榜单分数=报告分数）。ST海龙 当前 50 分、C 级，全榜第 103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实控人：胡兴荣（民企(个人)）。S1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ST海龙（000677）当前V2保壳评分 50 分（C级），全榜第 103 名。安全垫维度：C2壳价值锚定、S2股权质押、A1净资产、A2扣非主营收入、A3扣非净利润、B1立案/造假、H1司法风险。实控人为民企(个人)（胡兴荣），无国资兜底，保壳依赖自身资源与外部资本博弈。暂无重组/纾困信号，保壳主要依赖自身经营修复。市值15.98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ST海龙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15.98 亿元，对照壳基准 33.81 亿元（近2年154笔实控权变更市值中位数）：市值/基准 = 47%。处于并购/借壳成本优势区——壳越便宜，重组方入场成本越低，被并购概率上升。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95 名，摸鱼指数 46.8（壳便宜分 60）。摸鱼指数=50%×V2保壳分+50%×壳便宜分，反映「保壳确定性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壳价值锚定(8/8)、S2 股权质押(6/6)、A1 净资产(10/10)、A2 扣非主营收入(12/12)、A3 扣非净利润(6/6)、B1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实控人性质(3/12)、D1 现金流(2/4)、B2 审计意见(0/12)、F2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壳价值锚定(8/8)；S2 股权质押(6/6)。空头逻辑：C1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103 名 / 第 95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风险源维度：C1面值距离、S1实控人性质、D1现金流、B2审计意见、F2重组纾困、F1财务趋势。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ST海龙（000677）=V2评分 50 分/C级/全榜第103名，摸鱼第95名（指数46.8）。C2 壳价值锚定(8/8)、S2 股权质押(6/6)、A1 净资产(10/10)、A2 扣非主营收入(12/12)、A3 扣非净利润(6/6)、B1 立案/造假(10/10)、H1 司法风险(4/4)为安全垫，C1 面值距离(2/6)、S1 实控人性质(3/12)、D1 现金流(2/4)、B2 审计意见(0/12)、F2 重组纾困(0/6)、F1 财务趋势(2/4)为风险源。保壳压力较大，存在明确风险敞口，若短板维度不修复，存在退市可能。（详见正文九章。）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深度跟读报告｜ST海龙（000677）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