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ST通葡</w:t>
        <w:br/>
        <w:t>600365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96 名 ｜ 摸鱼指数 46.8 ｜ V2保壳分 46 ｜ C级 ｜ 全榜第 134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ST通葡（600365）投资要点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46 分 / C 级（全榜第 134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46.8 / 第 96 名（壳便宜分 64）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12.76 亿元 / 2.81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陈晓琦,吴玉华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综合评级：C级（46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实控人性质(3/12)、S2 股权质押(0/6)、A2 扣非主营收入(0/12)、A3 扣非净利润(3/6)、D1 现金流(0/4)、F2 重组纾困(0/6)、F1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ST通葡（600365）当前V2保壳评分 46 分（C级），全榜第 134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600365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ST通葡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2.81 元 / 12.76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陈晓琦,吴玉华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134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单源出分，榜单分数=报告分数）。ST通葡 当前 46 分、C 级，全榜第 134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A16/10、A20/12、A33/6、D10/4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营收严重不达标（接近0或微收），财务类退市风险极端。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已触及「营收&lt;红线+亏损」财务类退市红线组合——这是V2体系中最高优先级的财务退市信号，年报后触发*ST/退市风险高。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实控人：陈晓琦,吴玉华（民企(法人)）。S1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A16/10、A20/12、A33/6、D10/4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ST通葡（600365）当前V2保壳评分 46 分（C级），全榜第 134 名。安全垫维度：C2壳价值锚定、B1立案/造假、B2审计意见。实控人为民企(法人)（陈晓琦,吴玉华），无国资兜底，保壳依赖自身资源与外部资本博弈。暂无重组/纾困信号，保壳主要依赖自身经营修复。市值12.76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ST通葡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8/8：市值≤壳基准(33.81亿)的5折，处于并购/借壳成本优势区——壳越便宜，重组方入场成本越低。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12.76 亿元，对照壳基准 33.81 亿元（近2年154笔实控权变更市值中位数）：市值/基准 = 38%。处于并购/借壳成本优势区——壳越便宜，重组方入场成本越低，被并购概率上升。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96 名，摸鱼指数 46.8（壳便宜分 64）。摸鱼指数=50%×V2保壳分+50%×壳便宜分，反映「保壳确定性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C2 壳价值锚定(8/8)、B1 立案/造假(10/10)、B2 审计意见(12/12)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实控人性质(3/12)、S2 股权质押(0/6)、A2 扣非主营收入(0/12)、A3 扣非净利润(3/6)、D1 现金流(0/4)、F2 重组纾困(0/6)、F1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多头逻辑：C2 壳价值锚定(8/8)；B1 立案/造假(10/10)。空头逻辑：S1 实控人性质(3/12)；S2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46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134 名 / 第 96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风险源维度：S1实控人性质、S2股权质押、A2扣非主营收入、A3扣非净利润、D1现金流、F2重组纾困、F1财务趋势、H1司法风险。 营收未达标且扣非亏损，已触及「营收&lt;红线+亏损」财务类退市红线组合。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ST通葡（600365）=V2评分 46 分/C级/全榜第134名，摸鱼第96名（指数46.8）。C2 壳价值锚定(8/8)、B1 立案/造假(10/10)、B2 审计意见(12/12)为安全垫，S1 实控人性质(3/12)、S2 股权质押(0/6)、A2 扣非主营收入(0/12)、A3 扣非净利润(3/6)、D1 现金流(0/4)、F2 重组纾困(0/6)、F1 财务趋势(0/4)、H1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深度跟读报告｜ST通葡（600365）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