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*ST康佳B</w:t>
        <w:br/>
        <w:t>200016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97 名 ｜ 摸鱼指数 46.3 ｜ V2保壳分 50 ｜ C级 ｜ 全榜第 120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*ST康佳B（200016）投资要点</w:t>
      </w:r>
    </w:p>
    <w:p>
      <w:pPr>
        <w:jc w:val="center"/>
      </w:pPr>
      <w:r>
        <w:rPr>
          <w:color w:val="666666"/>
          <w:sz w:val="20"/>
        </w:rPr>
        <w:t>B股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120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46.3 / 第 97 名（壳便宜分 59）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16.86 亿元 / 0.7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中国华润有限公司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B股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面值距离(0/6)、C2 壳价值锚定(2/8)、A1 净资产(3/10)、A3 扣非净利润(0/6)、D1 现金流(1/4)、F2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*ST康佳B（200016）当前V2保壳评分 50 分（C级），全榜第 120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200016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*ST康佳B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B股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0.7 元 / 16.86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中国华润有限公司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120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单源出分，榜单分数=报告分数）。*ST康佳B 当前 50 分、C 级，全榜第 120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C10/6、C22/8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1/4：经营现金流为负，资金链压力大。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实控人：中国华润有限公司（央企）。S1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C10/6、C22/8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风险通道：市场通道、财务红线、纾困通道——是当前最可能触发退市的路径，需优先跟踪。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*ST康佳B（200016）当前V2保壳评分 50 分（C级），全榜第 120 名。安全垫维度：S1实控人性质、S2股权质押、A2扣非主营收入、B1立案/造假、B2审计意见、H1司法风险。实控人为央企（中国华润有限公司），国资信用与资源协调能力构成最强保壳兜底。暂无重组/纾困信号，保壳主要依赖自身经营修复。市值16.86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*ST康佳B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16.86 亿元，对照壳基准 33.81 亿元（近2年154笔实控权变更市值中位数）：市值/基准 = 50%。处于并购/借壳成本优势区——壳越便宜，重组方入场成本越低，被并购概率上升。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97 名，摸鱼指数 46.3（壳便宜分 59）。摸鱼指数=50%×V2保壳分+50%×壳便宜分，反映「保壳确定性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S1 实控人性质(10/12)、S2 股权质押(6/6)、A2 扣非主营收入(12/12)、B1 立案/造假(10/10)、B2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面值距离(0/6)、C2 壳价值锚定(2/8)、A1 净资产(3/10)、A3 扣非净利润(0/6)、D1 现金流(1/4)、F2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多头逻辑：S1 实控人性质(10/12)；S2 股权质押(6/6)。空头逻辑：C1 面值距离(0/6)；C2 壳价值锚定(2/8)。综合评级见第八章。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120 名 / 第 97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风险源维度：C1面值距离、C2壳价值锚定、A1净资产、A3扣非净利润、D1现金流、F2重组纾困、F1财务趋势。 股价贴近或跌破1元面值线（C1≤1），面值退市危机显著。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*ST康佳B（200016）=V2评分 50 分/C级/全榜第120名，摸鱼第97名（指数46.3）。S1 实控人性质(10/12)、S2 股权质押(6/6)、A2 扣非主营收入(12/12)、B1 立案/造假(10/10)、B2 审计意见(12/12)、H1 司法风险(4/4)为安全垫，C1 面值距离(0/6)、C2 壳价值锚定(2/8)、A1 净资产(3/10)、A3 扣非净利润(0/6)、D1 现金流(1/4)、F2 重组纾困(0/6)、F1 财务趋势(2/4)为风险源。保壳压力较大，存在明确风险敞口，若短板维度不修复，存在退市可能。（详见正文九章。）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深度跟读报告｜*ST康佳B（200016）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