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ST晨鸣B</w:t>
        <w:br/>
        <w:t>200488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98 名 ｜ 摸鱼指数 46.3 ｜ V2保壳分 50 ｜ C级 ｜ 全榜第 121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ST晨鸣B（200488）投资要点</w:t>
      </w:r>
    </w:p>
    <w:p>
      <w:pPr>
        <w:jc w:val="center"/>
      </w:pPr>
      <w:r>
        <w:rPr>
          <w:color w:val="666666"/>
          <w:sz w:val="20"/>
        </w:rPr>
        <w:t>B股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121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46.3 / 第 98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16.77 亿元 / 0.57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寿光市国有资产监督管理局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B股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面值距离(0/6)、C2 壳价值锚定(2/8)、A1 净资产(3/10)、A3 扣非净利润(3/6)、D1 现金流(1/4)、F2 重组纾困(0/6)，是主要失分区。</w:t>
      </w:r>
    </w:p>
    <w:p>
      <w:r>
        <w:rPr>
          <w:b w:val="0"/>
          <w:sz w:val="20"/>
        </w:rPr>
        <w:t>2. 股价贴近或跌破1元面值线，面值退市危机显著。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ST晨鸣B（200488）当前V2保壳评分 50 分（C级），全榜第 121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200488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ST晨鸣B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B股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0.57 元 / 16.77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寿光市国有资产监督管理局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121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单源出分，榜单分数=报告分数）。ST晨鸣B 当前 50 分、C 级，全榜第 121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A13/10、A29/12、A33/6、D11/4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实控人：寿光市国有资产监督管理局（市县国资）。S1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C10/6、C22/8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A13/10、A29/12、A33/6、D11/4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ST晨鸣B（200488）当前V2保壳评分 50 分（C级），全榜第 121 名。安全垫维度：S2股权质押、B1立案/造假、B2审计意见、F1财务趋势、H1司法风险。实控人为市县国资（寿光市国有资产监督管理局），地方国资具备一定信用背书与资源协调能力。暂无重组/纾困信号，保壳主要依赖自身经营修复。市值16.77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ST晨鸣B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16.77 亿元，对照壳基准 33.81 亿元（近2年154笔实控权变更市值中位数）：市值/基准 = 50%。处于并购/借壳成本优势区——壳越便宜，重组方入场成本越低，被并购概率上升。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98 名，摸鱼指数 46.3（壳便宜分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股权质押(6/6)、B1 立案/造假(10/10)、B2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面值距离(0/6)、C2 壳价值锚定(2/8)、A1 净资产(3/10)、A3 扣非净利润(3/6)、D1 现金流(1/4)、F2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股权质押(6/6)；B1 立案/造假(10/10)。空头逻辑：C1 面值距离(0/6)；C2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121 名 / 第 98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风险源维度：C1面值距离、C2壳价值锚定、A1净资产、A3扣非净利润、D1现金流、F2重组纾困。 股价贴近或跌破1元面值线（C1≤1），面值退市危机显著。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ST晨鸣B（200488）=V2评分 50 分/C级/全榜第121名，摸鱼第98名（指数46.3）。S2 股权质押(6/6)、B1 立案/造假(10/10)、B2 审计意见(12/12)、F1 财务趋势(4/4)、H1 司法风险(4/4)为安全垫，C1 面值距离(0/6)、C2 壳价值锚定(2/8)、A1 净资产(3/10)、A3 扣非净利润(3/6)、D1 现金流(1/4)、F2 重组纾困(0/6)为风险源。保壳压力较大，存在明确风险敞口，若短板维度不修复，存在退市可能。（详见正文九章。）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深度跟读报告｜ST晨鸣B（200488）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