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ST金花</w:t>
        <w:br/>
        <w:t>600080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99 名 ｜ 摸鱼指数 45.5 ｜ V2保壳分 50 ｜ C级 ｜ 全榜第 119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ST金花（600080）投资要点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45.5 / 第 99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18.36 亿元 / 4.92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邢博越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实控人性质(3/12)、D1 现金流(2/4)、B2 审计意见(0/12)、F2 重组纾困(0/6)、H1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ST金花（600080）当前V2保壳评分 50 分（C级），全榜第 119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600080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ST金花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4.92 元 / 18.36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邢博越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119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单源出分，榜单分数=报告分数）。ST金花 当前 50 分、C 级，全榜第 119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实控人：邢博越（民企(个人)）。S1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ST金花（600080）当前V2保壳评分 50 分（C级），全榜第 119 名。安全垫维度：C1面值距离、A1净资产、A2扣非主营收入、A3扣非净利润、F1财务趋势。实控人为民企(个人)（邢博越），无国资兜底，保壳依赖自身资源与外部资本博弈。暂无重组/纾困信号，保壳主要依赖自身经营修复。市值18.36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ST金花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18.36 亿元，对照壳基准 33.81 亿元（近2年154笔实控权变更市值中位数）：市值/基准 = 54%。处于折价/平价区，并购成本有吸引力或中性。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99 名，摸鱼指数 45.5（壳便宜分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净资产(10/10)、A2 扣非主营收入(12/12)、A3 扣非净利润(6/6)、F1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实控人性质(3/12)、D1 现金流(2/4)、B2 审计意见(0/12)、F2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净资产(10/10)。空头逻辑：S1 实控人性质(3/12)；D1 现金流(2/4)。综合评级见第八章。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119 名 / 第 99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风险源维度：S1实控人性质、D1现金流、B2审计意见、F2重组纾困、H1司法风险。 审计意见为无法表示/否定意见（B2=0），总分封顶50分，是重大规范风险。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ST金花（600080）=V2评分 50 分/C级/全榜第119名，摸鱼第99名（指数45.5）。C1 面值距离(5/6)、A1 净资产(10/10)、A2 扣非主营收入(12/12)、A3 扣非净利润(6/6)、F1 财务趋势(4/4)为安全垫，S1 实控人性质(3/12)、D1 现金流(2/4)、B2 审计意见(0/12)、F2 重组纾困(0/6)、H1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深度跟读报告｜ST金花（600080）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