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*ST棒杰</w:t>
        <w:br/>
        <w:t>002634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101 名 ｜ 摸鱼指数 45.0 ｜ V2保壳分 50 ｜ C级 ｜ 全榜第 111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*ST棒杰（002634）投资要点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级（全榜第 111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45.0 / 第 101 名（壳便宜分 56）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19.52 亿元 / 4.25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黄荣耀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综合评级：C级（50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实控人性质(3/12)、S2 股权质押(0/6)、A1 净资产(0/10)、A3 扣非净利润(0/6)、D1 现金流(2/4)、B2 审计意见(6/12)、F1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*ST棒杰（002634）当前V2保壳评分 50 分（C级），全榜第 111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002634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*ST棒杰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4.25 元 / 19.52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黄荣耀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111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单源出分，榜单分数=报告分数）。*ST棒杰 当前 50 分、C 级，全榜第 111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实控人：黄荣耀（民企(个人)）。S1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风险通道：财务红线、规范通道、股东/治理——是当前最可能触发退市的路径，需优先跟踪。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*ST棒杰（002634）当前V2保壳评分 50 分（C级），全榜第 111 名。安全垫维度：C1面值距离、A2扣非主营收入、B1立案/造假。实控人为民企(个人)（黄荣耀），无国资兜底，保壳依赖自身资源与外部资本博弈。重组/预重整正在推进，保壳有实质抓手。市值19.52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*ST棒杰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19.52 亿元，对照壳基准 33.81 亿元（近2年154笔实控权变更市值中位数）：市值/基准 = 58%。处于折价/平价区，并购成本有吸引力或中性。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101 名，摸鱼指数 45.0（壳便宜分 56）。摸鱼指数=50%×V2保壳分+50%×壳便宜分，反映「保壳确定性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面值距离(5/6)、A2 扣非主营收入(12/12)、B1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实控人性质(3/12)、S2 股权质押(0/6)、A1 净资产(0/10)、A3 扣非净利润(0/6)、D1 现金流(2/4)、B2 审计意见(6/12)、F1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面值距离(5/6)；A2 扣非主营收入(12/12)。空头逻辑：S1 实控人性质(3/12)；S2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111 名 / 第 101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风险源维度：S1实控人性质、S2股权质押、A1净资产、A3扣非净利润、D1现金流、B2审计意见、F1财务趋势、H1司法风险。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*ST棒杰（002634）=V2评分 50 分/C级/全榜第111名，摸鱼第101名（指数45.0）。C1 面值距离(5/6)、A2 扣非主营收入(12/12)、B1 立案/造假(10/10)为安全垫，S1 实控人性质(3/12)、S2 股权质押(0/6)、A1 净资产(0/10)、A3 扣非净利润(0/6)、D1 现金流(2/4)、B2 审计意见(6/12)、F1 财务趋势(2/4)、H1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深度跟读报告｜*ST棒杰（002634）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