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*ST康佳A</w:t>
        <w:br/>
        <w:t>000016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104 名 ｜ 摸鱼指数 44.5 ｜ V2保壳分 56 ｜ B级 ｜ 全榜第 69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*ST康佳A（000016）投资要点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级（全榜第 69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44.5 / 第 104 名（壳便宜分 33）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58.99 亿元 / 2.45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中国华润有限公司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壳价值锚定(0/8)、A1 净资产(0/10)、A3 扣非净利润(0/6)、D1 现金流(0/4)、B2 审计意见(6/12)、F2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*ST康佳A（000016）当前V2保壳评分 56 分（B级），全榜第 69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000016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*ST康佳A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2.45 元 / 58.99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中国华润有限公司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单源出分，榜单分数=报告分数）。*ST康佳A 当前 56 分、B 级，全榜第 69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实控人：中国华润有限公司（央企）。S1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*ST康佳A（000016）当前V2保壳评分 56 分（B级），全榜第 69 名。安全垫维度：S1实控人性质、S2股权质押、A2扣非主营收入、B1立案/造假、H1司法风险。实控人为央企（中国华润有限公司），国资信用与资源协调能力构成最强保壳兜底。已有出售资产/债务豁免等保壳动作，但尚未形成重组级信号。市值58.99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*ST康佳A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58.99 亿元，对照壳基准 33.81 亿元（近2年154笔实控权变更市值中位数）：市值/基准 = 174%。高于壳基准，壳价不占优，安全边际一般。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104 名，摸鱼指数 44.5（壳便宜分 33）。摸鱼指数=50%×V2保壳分+50%×壳便宜分，反映「保壳确定性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实控人性质(10/12)、S2 股权质押(6/6)、A2 扣非主营收入(12/12)、B1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壳价值锚定(0/8)、A1 净资产(0/10)、A3 扣非净利润(0/6)、D1 现金流(0/4)、B2 审计意见(6/12)、F2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实控人性质(10/12)；S2 股权质押(6/6)。空头逻辑：C2 壳价值锚定(0/8)；A1 净资产(0/10)。综合评级见第八章。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69 名 / 第 104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风险源维度：C2壳价值锚定、A1净资产、A3扣非净利润、D1现金流、B2审计意见、F2重组纾困、F1财务趋势。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*ST康佳A（000016）=V2评分 56 分/B级/全榜第69名，摸鱼第104名（指数44.5）。S1 实控人性质(10/12)、S2 股权质押(6/6)、A2 扣非主营收入(12/12)、B1 立案/造假(10/10)、H1 司法风险(4/4)为安全垫，C2 壳价值锚定(0/8)、A1 净资产(0/10)、A3 扣非净利润(0/6)、D1 现金流(0/4)、B2 审计意见(6/12)、F2 重组纾困(2/6)、F1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深度跟读报告｜*ST康佳A（000016）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