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ST迪威迅</w:t>
        <w:br/>
        <w:t>300167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106 名 ｜ 摸鱼指数 44.2 ｜ V2保壳分 46 ｜ C级 ｜ 全榜第 133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ST迪威迅（300167）投资要点</w:t>
      </w:r>
    </w:p>
    <w:p>
      <w:pPr>
        <w:jc w:val="center"/>
      </w:pPr>
      <w:r>
        <w:rPr>
          <w:color w:val="666666"/>
          <w:sz w:val="20"/>
        </w:rPr>
        <w:t>创业板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46 分 / C 级（全榜第 133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44.2 / 第 106 名（壳便宜分 58）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17.28 亿元 / 4.15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综合评级：C级（46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实控人性质(1/12)、S2 股权质押(0/6)、A1 净资产(3/10)、A3 扣非净利润(3/6)、D1 现金流(0/4)、B2 审计意见(6/12)、F2 重组纾困(0/6)、F1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ST迪威迅（300167）当前V2保壳评分 46 分（C级），全榜第 133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300167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ST迪威迅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4.15 元 / 17.28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133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单源出分，榜单分数=报告分数）。ST迪威迅 当前 46 分、C 级，全榜第 133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实控人：无（无实控人）。S1 得分 1/12：民企/个人实控，无国资兜底，保壳依赖自身资源与外部资本博弈。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ST迪威迅（300167）当前V2保壳评分 46 分（C级），全榜第 133 名。安全垫维度：C1面值距离、A2扣非主营收入、B1立案/造假。公司当前无实控人，治理结构与保壳主导权存在不确定性。暂无重组/纾困信号，保壳主要依赖自身经营修复。市值17.28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ST迪威迅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17.28 亿元，对照壳基准 33.81 亿元（近2年154笔实控权变更市值中位数）：市值/基准 = 51%。处于折价/平价区，并购成本有吸引力或中性。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106 名，摸鱼指数 44.2（壳便宜分 58）。摸鱼指数=50%×V2保壳分+50%×壳便宜分，反映「保壳确定性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面值距离(5/6)、A2 扣非主营收入(12/12)、B1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实控人性质(1/12)、S2 股权质押(0/6)、A1 净资产(3/10)、A3 扣非净利润(3/6)、D1 现金流(0/4)、B2 审计意见(6/12)、F2 重组纾困(0/6)、F1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面值距离(5/6)；A2 扣非主营收入(12/12)。空头逻辑：S1 实控人性质(1/12)；S2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46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133 名 / 第 106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风险源维度：S1实控人性质、S2股权质押、A1净资产、A3扣非净利润、D1现金流、B2审计意见、F2重组纾困、F1财务趋势、H1司法风险。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ST迪威迅（300167）=V2评分 46 分/C级/全榜第133名，摸鱼第106名（指数44.2）。C1 面值距离(5/6)、A2 扣非主营收入(12/12)、B1 立案/造假(10/10)为安全垫，S1 实控人性质(1/12)、S2 股权质押(0/6)、A1 净资产(3/10)、A3 扣非净利润(3/6)、D1 现金流(0/4)、B2 审计意见(6/12)、F2 重组纾困(0/6)、F1 财务趋势(0/4)、H1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深度跟读报告｜ST迪威迅（300167）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