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*ST瑞茂</w:t>
        <w:br/>
        <w:t>600180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108 名 ｜ 摸鱼指数 43.8 ｜ V2保壳分 44 ｜ C级 ｜ 全榜第 142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*ST瑞茂（600180）投资要点</w:t>
      </w:r>
    </w:p>
    <w:p>
      <w:pPr>
        <w:jc w:val="center"/>
      </w:pPr>
      <w:r>
        <w:rPr>
          <w:color w:val="666666"/>
          <w:sz w:val="20"/>
        </w:rPr>
        <w:t>主板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44 分 / C 级（全榜第 142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43.8 / 第 108 名（壳便宜分 59）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16.52 亿元 / 1.52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万永兴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综合评级：C级（44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风险源维度：C1 面值距离(2/6)、S1 实控人性质(3/12)、S2 股权质押(0/6)、A3 扣非净利润(0/6)、D1 现金流(0/4)、B2 审计意见(0/12)、F2 重组纾困(2/6)、F1 财务趋势(0/4)、H1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审计无法表示/否定意见（B2=0），总分封顶50，规范风险重大。</w:t>
      </w:r>
    </w:p>
    <w:p>
      <w:r>
        <w:rPr>
          <w:b w:val="0"/>
          <w:sz w:val="20"/>
        </w:rPr>
        <w:t>4. 股价贴近或跌破1元面值线，面值退市危机显著。</w:t>
      </w:r>
    </w:p>
    <w:p>
      <w:r>
        <w:rPr>
          <w:b w:val="0"/>
          <w:sz w:val="20"/>
        </w:rPr>
        <w:t>5.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*ST瑞茂（600180）当前V2保壳评分 44 分（C级），全榜第 142 名。保壳压力较大，存在明确风险敞口，若短板维度不修复，存在退市可能。（详细研判见正文九章。）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600180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*ST瑞茂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1.52 元 / 16.52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万永兴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142 名 / C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单源出分，榜单分数=报告分数）。*ST瑞茂 当前 44 分、C 级，全榜第 142 名。保壳压力较大，存在明确风险敞口，若短板维度不修复，存在退市可能。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C12/6、C28/8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A110/10、A29/12、A30/6、D10/4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营收接近达标但含金量打折（如低毛利冲量被模型识别）。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0/4：经营现金流为负，资金链压力大。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实控人：万永兴（民企(个人)）。S1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0/12：无法表示/否定意见，触发审计封顶。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C12/6、C28/8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A110/10、A29/12、A30/6、D10/4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风险通道：规范通道、股东/治理、纾困通道——是当前最可能触发退市的路径，需优先跟踪。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*ST瑞茂（600180）当前V2保壳评分 44 分（C级），全榜第 142 名。安全垫维度：C2壳价值锚定、A1净资产、B1立案/造假。实控人为民企(个人)（万永兴），无国资兜底，保壳依赖自身资源与外部资本博弈。已有出售资产/债务豁免等保壳动作，但尚未形成重组级信号。市值16.52亿，低于基准壳费线33.81亿的5折，壳价便宜，并购重组方入场成本低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*ST瑞茂 当前评级 C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8/8：市值≤壳基准(33.81亿)的5折，处于并购/借壳成本优势区——壳越便宜，重组方入场成本越低。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16.52 亿元，对照壳基准 33.81 亿元（近2年154笔实控权变更市值中位数）：市值/基准 = 49%。处于并购/借壳成本优势区——壳越便宜，重组方入场成本越低，被并购概率上升。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108 名，摸鱼指数 43.8（壳便宜分 59）。摸鱼指数=50%×V2保壳分+50%×壳便宜分，反映「保壳确定性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C2 壳价值锚定(8/8)、A1 净资产(10/10)、B1 立案/造假(10/10)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C1 面值距离(2/6)、S1 实控人性质(3/12)、S2 股权质押(0/6)、A3 扣非净利润(0/6)、D1 现金流(0/4)、B2 审计意见(0/12)、F2 重组纾困(2/6)、F1 财务趋势(0/4)、H1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多头逻辑：C2 壳价值锚定(8/8)；A1 净资产(10/10)。空头逻辑：C1 面值距离(2/6)；S1 实控人性质(3/12)。综合评级见第八章。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44 分 / C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142 名 / 第 108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保壳压力较大，存在明确风险敞口，若短板维度不修复，存在退市可能。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【持仓投资者】存在明确风险敞口，跟踪短板维度修复与年报窗口。</w:t>
        <w:br/>
        <w:t>【场外资金】需等待实质性保壳动作（重组/重整/审计改善）确认后再评估。</w:t>
        <w:br/>
        <w:t>【产业方】壳价进入可谈区间，但需先穿透财务红线与诉讼敞口。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风险源维度：C1面值距离、S1实控人性质、S2股权质押、A3扣非净利润、D1现金流、B2审计意见、F2重组纾困、F1财务趋势、H1司法风险。 审计意见为无法表示/否定意见（B2=0），总分封顶50分，是重大规范风险。 经营现金流为负，资金链压力较大。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*ST瑞茂（600180）=V2评分 44 分/C级/全榜第142名，摸鱼第108名（指数43.8）。C2 壳价值锚定(8/8)、A1 净资产(10/10)、B1 立案/造假(10/10)为安全垫，C1 面值距离(2/6)、S1 实控人性质(3/12)、S2 股权质押(0/6)、A3 扣非净利润(0/6)、D1 现金流(0/4)、B2 审计意见(0/12)、F2 重组纾困(2/6)、F1 财务趋势(0/4)、H1 司法风险(0/4)为风险源。保壳压力较大，存在明确风险敞口，若短板维度不修复，存在退市可能。（详见正文九章。）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深度跟读报告｜*ST瑞茂（600180）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