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ST信安</w:t>
        <w:br/>
        <w:t>688201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111 名 ｜ 摸鱼指数 43.4 ｜ V2保壳分 50 ｜ C级 ｜ 全榜第 109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ST信安（688201）投资要点</w:t>
      </w:r>
    </w:p>
    <w:p>
      <w:pPr>
        <w:jc w:val="center"/>
      </w:pPr>
      <w:r>
        <w:rPr>
          <w:color w:val="666666"/>
          <w:sz w:val="20"/>
        </w:rPr>
        <w:t>科创板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43.4 / 第 111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23.56 亿元 / 7.43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丁纯,李伟,王翊心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实控人性质(3/12)、D1 现金流(2/4)、B2 审计意见(0/12)、F2 重组纾困(0/6)，是主要失分区。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ST信安（688201）当前V2保壳评分 50 分（C级），全榜第 109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688201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ST信安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7.43 元 / 23.56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丁纯,李伟,王翊心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109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单源出分，榜单分数=报告分数）。ST信安 当前 50 分、C 级，全榜第 109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实控人：丁纯,李伟,王翊心（民企(法人)）。S1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ST信安（688201）当前V2保壳评分 50 分（C级），全榜第 109 名。安全垫维度：C1面值距离、S2股权质押、A1净资产、A2扣非主营收入、A3扣非净利润、B1立案/造假、F1财务趋势、H1司法风险。实控人为民企(法人)（丁纯,李伟,王翊心），无国资兜底，保壳依赖自身资源与外部资本博弈。暂无重组/纾困信号，保壳主要依赖自身经营修复。市值23.56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ST信安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23.56 亿元，对照壳基准 33.81 亿元（近2年154笔实控权变更市值中位数）：市值/基准 = 70%。处于折价/平价区，并购成本有吸引力或中性。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111 名，摸鱼指数 43.4（壳便宜分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扣非净利润(6/6)、B1 立案/造假(10/10)、F1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实控人性质(3/12)、D1 现金流(2/4)、B2 审计意见(0/12)、F2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股权质押(6/6)。空头逻辑：S1 实控人性质(3/12)；D1 现金流(2/4)。综合评级见第八章。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109 名 / 第 111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风险源维度：S1实控人性质、D1现金流、B2审计意见、F2重组纾困。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ST信安（688201）=V2评分 50 分/C级/全榜第109名，摸鱼第111名（指数43.4）。C1 面值距离(6/6)、S2 股权质押(6/6)、A1 净资产(10/10)、A2 扣非主营收入(12/12)、A3 扣非净利润(6/6)、B1 立案/造假(10/10)、F1 财务趋势(4/4)、H1 司法风险(4/4)为安全垫，S1 实控人性质(3/12)、D1 现金流(2/4)、B2 审计意见(0/12)、F2 重组纾困(0/6)为风险源。保壳压力较大，存在明确风险敞口，若短板维度不修复，存在退市可能。（详见正文九章。）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深度跟读报告｜ST信安（688201）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