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*ST美谷</w:t>
        <w:br/>
        <w:t>000615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115 名 ｜ 摸鱼指数 43.0 ｜ V2保壳分 53 ｜ B级 ｜ 全榜第 93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*ST美谷（000615）投资要点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53 分 / B 级（全榜第 93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43.0 / 第 115 名（壳便宜分 33）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58.99 亿元 / 3.3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刘宝林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综合评级：B级（53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实控人性质(3/12)、S2 股权质押(0/6)、A3 扣非净利润(0/6)、D1 现金流(2/4)、B2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*ST美谷（000615）当前V2保壳评分 53 分（B级），全榜第 93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000615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*ST美谷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3.3 元 / 58.99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刘宝林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单源出分，榜单分数=报告分数）。*ST美谷 当前 53 分、B 级，全榜第 93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实控人：刘宝林（民企(个人)）。S1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*ST美谷（000615）当前V2保壳评分 53 分（B级），全榜第 93 名。安全垫维度：C1面值距离、A1净资产、A2扣非主营收入、F2重组纾困。实控人为民企(个人)（刘宝林），无国资兜底，保壳依赖自身资源与外部资本博弈。重组/纾困已进入执行或完成阶段，保壳确定性最高。市值58.99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*ST美谷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58.99 亿元，对照壳基准 33.81 亿元（近2年154笔实控权变更市值中位数）：市值/基准 = 174%。高于壳基准，壳价不占优，安全边际一般。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115 名，摸鱼指数 43.0（壳便宜分 33）。摸鱼指数=50%×V2保壳分+50%×壳便宜分，反映「保壳确定性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净资产(10/10)、A2 扣非主营收入(12/12)、F2 重组纾困(6/6)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实控人性质(3/12)、S2 股权质押(0/6)、A3 扣非净利润(0/6)、D1 现金流(2/4)、B2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53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93 名 / 第 115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*ST美谷（000615）=V2评分 53 分/B级/全榜第93名，摸鱼第115名（指数43.0）。C1 面值距离(5/6)、A1 净资产(10/10)、A2 扣非主营收入(12/12)、F2 重组纾困(6/6)为安全垫，C2 壳价值锚定(0/8)、S1 实控人性质(3/12)、S2 股权质押(0/6)、A3 扣非净利润(0/6)、D1 现金流(2/4)、B2 审计意见(6/12)、F1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深度跟读报告｜*ST美谷（000615）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