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ST金鸿顺</w:t>
        <w:br/>
        <w:t>603922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116 名 ｜ 摸鱼指数 42.9 ｜ V2保壳分 50 ｜ C级 ｜ 全榜第 105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ST金鸿顺（603922）投资要点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42.9 / 第 116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24.98 亿元 / 13.94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刘栩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股权质押(0/6)、D1 现金流(0/4)、B1 立案/造假(4/10)、B2 审计意见(0/12)、F2 重组纾困(2/6)、H1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ST金鸿顺（603922）当前V2保壳评分 50 分（C级），全榜第 105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603922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ST金鸿顺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13.94 元 / 24.98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刘栩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105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单源出分，榜单分数=报告分数）。ST金鸿顺 当前 50 分、C 级，全榜第 105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实控人：刘栩（民企(个人)）。S1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ST金鸿顺（603922）当前V2保壳评分 50 分（C级），全榜第 105 名。安全垫维度：C1面值距离、A1净资产、A2扣非主营收入、A3扣非净利润、F1财务趋势。实控人为民企(个人)（刘栩），无国资兜底，保壳依赖自身资源与外部资本博弈。已有出售资产/债务豁免等保壳动作，但尚未形成重组级信号。市值24.98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ST金鸿顺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24.98 亿元，对照壳基准 33.81 亿元（近2年154笔实控权变更市值中位数）：市值/基准 = 74%。处于折价/平价区，并购成本有吸引力或中性。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116 名，摸鱼指数 42.9（壳便宜分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净资产(8/10)、A2 扣非主营收入(12/12)、A3 扣非净利润(6/6)、F1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股权质押(0/6)、D1 现金流(0/4)、B1 立案/造假(4/10)、B2 审计意见(0/12)、F2 重组纾困(2/6)、H1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净资产(8/10)。空头逻辑：S1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105 名 / 第 116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风险源维度：S1实控人性质、S2股权质押、D1现金流、B1立案/造假、B2审计意见、F2重组纾困、H1司法风险。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ST金鸿顺（603922）=V2评分 50 分/C级/全榜第105名，摸鱼第116名（指数42.9）。C1 面值距离(6/6)、A1 净资产(8/10)、A2 扣非主营收入(12/12)、A3 扣非净利润(6/6)、F1 财务趋势(4/4)为安全垫，S1 实控人性质(3/12)、S2 股权质押(0/6)、D1 现金流(0/4)、B1 立案/造假(4/10)、B2 审计意见(0/12)、F2 重组纾困(2/6)、H1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深度跟读报告｜ST金鸿顺（603922）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