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*ST皇庭</w:t>
        <w:br/>
        <w:t>000056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118 名 ｜ 摸鱼指数 41.6 ｜ V2保壳分 47 ｜ C级 ｜ 全榜第 129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*ST皇庭（000056）投资要点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47 分 / C 级（全榜第 129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41.6 / 第 118 名（壳便宜分 51）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24.60 亿元 / 2.08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郑康豪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综合评级：C级（47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实控人性质(3/12)、A1 净资产(0/10)、A3 扣非净利润(0/6)、D1 现金流(2/4)、B2 审计意见(0/12)、F2 重组纾困(2/6)、F1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*ST皇庭（000056）当前V2保壳评分 47 分（C级），全榜第 129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000056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*ST皇庭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2.08 元 / 24.60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郑康豪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129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单源出分，榜单分数=报告分数）。*ST皇庭 当前 47 分、C 级，全榜第 129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实控人：郑康豪（民企(个人)）。S1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4/6：质押或冻结存在（历史口径缺失取中性档），控制权有潜在扰动。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*ST皇庭（000056）当前V2保壳评分 47 分（C级），全榜第 129 名。安全垫维度：A2扣非主营收入、B1立案/造假、H1司法风险。实控人为民企(个人)（郑康豪），无国资兜底，保壳依赖自身资源与外部资本博弈。已有出售资产/债务豁免等保壳动作，但尚未形成重组级信号。市值24.60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*ST皇庭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24.60 亿元，对照壳基准 33.81 亿元（近2年154笔实控权变更市值中位数）：市值/基准 = 73%。处于折价/平价区，并购成本有吸引力或中性。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118 名，摸鱼指数 41.6（壳便宜分 51）。摸鱼指数=50%×V2保壳分+50%×壳便宜分，反映「保壳确定性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A2 扣非主营收入(12/12)、B1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实控人性质(3/12)、A1 净资产(0/10)、A3 扣非净利润(0/6)、D1 现金流(2/4)、B2 审计意见(0/12)、F2 重组纾困(2/6)、F1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多头逻辑：A2 扣非主营收入(12/12)；B1 立案/造假(10/10)。空头逻辑：S1 实控人性质(3/12)；A1 净资产(0/10)。综合评级见第八章。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47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129 名 / 第 118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风险源维度：S1实控人性质、A1净资产、A3扣非净利润、D1现金流、B2审计意见、F2重组纾困、F1财务趋势。 审计意见为无法表示/否定意见（B2=0），总分封顶50分，是重大规范风险。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*ST皇庭（000056）=V2评分 47 分/C级/全榜第129名，摸鱼第118名（指数41.6）。A2 扣非主营收入(12/12)、B1 立案/造假(10/10)、H1 司法风险(4/4)为安全垫，S1 实控人性质(3/12)、A1 净资产(0/10)、A3 扣非净利润(0/6)、D1 现金流(2/4)、B2 审计意见(0/12)、F2 重组纾困(2/6)、F1 财务趋势(0/4)为风险源。保壳压力较大，存在明确风险敞口，若短板维度不修复，存在退市可能。（详见正文九章。）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深度跟读报告｜*ST皇庭（000056）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