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*ST航图</w:t>
        <w:br/>
        <w:t>688066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127 名 ｜ 摸鱼指数 39.9 ｜ V2保壳分 40 ｜ C级 ｜ 全榜第 152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*ST航图（688066）投资要点</w:t>
      </w:r>
    </w:p>
    <w:p>
      <w:pPr>
        <w:jc w:val="center"/>
      </w:pPr>
      <w:r>
        <w:rPr>
          <w:color w:val="666666"/>
          <w:sz w:val="20"/>
        </w:rPr>
        <w:t>科创板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 分 / C 级（全榜第 152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39.9 / 第 127 名（壳便宜分 54）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21.44 亿元 / 8.14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王宇翔,张燕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股权质押(0/6)、A1 净资产(0/10)、A3 扣非净利润(0/6)、D1 现金流(0/4)、B1 立案/造假(4/10)、F2 重组纾困(0/6)、F1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*ST航图（688066）当前V2保壳评分 40 分（C级），全榜第 152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688066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*ST航图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8.14 元 / 21.44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王宇翔,张燕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152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单源出分，榜单分数=报告分数）。*ST航图 当前 40 分、C 级，全榜第 152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实控人：王宇翔,张燕（民企(法人)）。S1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4/10：重大违法处罚落地（立案→处罚全链条），触发封顶（总分≤30）。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*ST航图（688066）当前V2保壳评分 40 分（C级），全榜第 152 名。安全垫维度：C1面值距离、A2扣非主营收入。实控人为民企(法人)（王宇翔,张燕），无国资兜底，保壳依赖自身资源与外部资本博弈。暂无重组/纾困信号，保壳主要依赖自身经营修复。市值21.44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*ST航图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21.44 亿元，对照壳基准 33.81 亿元（近2年154笔实控权变更市值中位数）：市值/基准 = 63%。处于折价/平价区，并购成本有吸引力或中性。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127 名，摸鱼指数 39.9（壳便宜分 54）。摸鱼指数=50%×V2保壳分+50%×壳便宜分，反映「保壳确定性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面值距离(6/6)、A2 扣非主营收入(12/12)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股权质押(0/6)、A1 净资产(0/10)、A3 扣非净利润(0/6)、D1 现金流(0/4)、B1 立案/造假(4/10)、F2 重组纾困(0/6)、F1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面值距离(6/6)；A2 扣非主营收入(12/12)。空头逻辑：S1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152 名 / 第 127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风险源维度：S1实控人性质、S2股权质押、A1净资产、A3扣非净利润、D1现金流、B1立案/造假、F2重组纾困、F1财务趋势、H1司法风险。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*ST航图（688066）=V2评分 40 分/C级/全榜第152名，摸鱼第127名（指数39.9）。C1 面值距离(6/6)、A2 扣非主营收入(12/12)为安全垫，S1 实控人性质(3/12)、S2 股权质押(0/6)、A1 净资产(0/10)、A3 扣非净利润(0/6)、D1 现金流(0/4)、B1 立案/造假(4/10)、F2 重组纾困(0/6)、F1 财务趋势(0/4)、H1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深度跟读报告｜*ST航图（688066）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