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*ST起步</w:t>
        <w:br/>
        <w:t>603557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135 名 ｜ 摸鱼指数 38.2 ｜ V2保壳分 37 ｜ C级 ｜ 全榜第 161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*ST起步（603557）投资要点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37 分 / C 级（全榜第 161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38.2 / 第 135 名（壳便宜分 53）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21.82 亿元 / 3.5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陈丽红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综合评级：C级（37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股权质押(0/6)、A1 净资产(3/10)、A2 扣非主营收入(0/12)、A3 扣非净利润(0/6)、D1 现金流(0/4)、B2 审计意见(6/12)、F2 重组纾困(2/6)、F1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*ST起步（603557）当前V2保壳评分 37 分（C级），全榜第 161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603557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*ST起步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3.5 元 / 21.82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陈丽红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161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单源出分，榜单分数=报告分数）。*ST起步 当前 37 分、C 级，全榜第 161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A13/10、A20/12、A30/6、D10/4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实控人：陈丽红（民企(个人)）。S1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A13/10、A20/12、A30/6、D10/4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*ST起步（603557）当前V2保壳评分 37 分（C级），全榜第 161 名。安全垫维度：C1面值距离、B1立案/造假。实控人为民企(个人)（陈丽红），无国资兜底，保壳依赖自身资源与外部资本博弈。已有出售资产/债务豁免等保壳动作，但尚未形成重组级信号。市值21.82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*ST起步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21.82 亿元，对照壳基准 33.81 亿元（近2年154笔实控权变更市值中位数）：市值/基准 = 65%。处于折价/平价区，并购成本有吸引力或中性。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135 名，摸鱼指数 38.2（壳便宜分 53）。摸鱼指数=50%×V2保壳分+50%×壳便宜分，反映「保壳确定性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股权质押(0/6)、A1 净资产(3/10)、A2 扣非主营收入(0/12)、A3 扣非净利润(0/6)、D1 现金流(0/4)、B2 审计意见(6/12)、F2 重组纾困(2/6)、F1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面值距离(5/6)；B1 立案/造假(10/10)。空头逻辑：S1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37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161 名 / 第 135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风险源维度：S1实控人性质、S2股权质押、A1净资产、A2扣非主营收入、A3扣非净利润、D1现金流、B2审计意见、F2重组纾困、F1财务趋势、H1司法风险。 营收未达标且扣非亏损，已触及「营收&lt;红线+亏损」财务类退市红线组合。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*ST起步（603557）=V2评分 37 分/C级/全榜第161名，摸鱼第135名（指数38.2）。C1 面值距离(5/6)、B1 立案/造假(10/10)为安全垫，S1 实控人性质(3/12)、S2 股权质押(0/6)、A1 净资产(3/10)、A2 扣非主营收入(0/12)、A3 扣非净利润(0/6)、D1 现金流(0/4)、B2 审计意见(6/12)、F2 重组纾困(2/6)、F1 财务趋势(2/4)、H1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深度跟读报告｜*ST起步（603557）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