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*ST八钢</w:t>
        <w:br/>
        <w:t>600581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138 名 ｜ 摸鱼指数 37.4 ｜ V2保壳分 45 ｜ C级 ｜ 全榜第 137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*ST八钢（600581）投资要点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级（全榜第 137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37.4 / 第 138 名（壳便宜分 43）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36.64 亿元 / 2.39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中国宝武钢铁集团有限公司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壳价值锚定(2/8)、A1 净资产(0/10)、A3 扣非净利润(0/6)、D1 现金流(0/4)、B1 立案/造假(4/10)、B2 审计意见(6/12)、F2 重组纾困(0/6)、H1 司法风险(0/4)，是主要失分区。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*ST八钢（600581）当前V2保壳评分 45 分（C级），全榜第 137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600581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*ST八钢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2.39 元 / 36.64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中国宝武钢铁集团有限公司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137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单源出分，榜单分数=报告分数）。*ST八钢 当前 45 分、C 级，全榜第 137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实控人：中国宝武钢铁集团有限公司（央企）。S1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*ST八钢（600581）当前V2保壳评分 45 分（C级），全榜第 137 名。安全垫维度：S1实控人性质、S2股权质押、F1财务趋势。实控人为央企（中国宝武钢铁集团有限公司），国资信用与资源协调能力构成最强保壳兜底。暂无重组/纾困信号，保壳主要依赖自身经营修复。市值36.64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*ST八钢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36.64 亿元，对照壳基准 33.81 亿元（近2年154笔实控权变更市值中位数）：市值/基准 = 108%。高于壳基准，壳价不占优，安全边际一般。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138 名，摸鱼指数 37.4（壳便宜分 43）。摸鱼指数=50%×V2保壳分+50%×壳便宜分，反映「保壳确定性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实控人性质(10/12)、S2 股权质押(6/6)、F1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壳价值锚定(2/8)、A1 净资产(0/10)、A3 扣非净利润(0/6)、D1 现金流(0/4)、B1 立案/造假(4/10)、B2 审计意见(6/12)、F2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实控人性质(10/12)；S2 股权质押(6/6)。空头逻辑：C2 壳价值锚定(2/8)；A1 净资产(0/10)。综合评级见第八章。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137 名 / 第 138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风险源维度：C2壳价值锚定、A1净资产、A3扣非净利润、D1现金流、B1立案/造假、B2审计意见、F2重组纾困、H1司法风险。 经营现金流为负，资金链压力较大。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*ST八钢（600581）=V2评分 45 分/C级/全榜第137名，摸鱼第138名（指数37.4）。S1 实控人性质(10/12)、S2 股权质押(6/6)、F1 财务趋势(4/4)为安全垫，C2 壳价值锚定(2/8)、A1 净资产(0/10)、A3 扣非净利润(0/6)、D1 现金流(0/4)、B1 立案/造假(4/10)、B2 审计意见(6/12)、F2 重组纾困(0/6)、H1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深度跟读报告｜*ST八钢（600581）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