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*ST元道</w:t>
        <w:br/>
        <w:t>301139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146 名 ｜ 摸鱼指数 35.4 ｜ V2保壳分 30 ｜ D级 ｜ 全榜第 171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*ST元道（301139）投资要点</w:t>
      </w:r>
    </w:p>
    <w:p>
      <w:pPr>
        <w:jc w:val="center"/>
      </w:pPr>
      <w:r>
        <w:rPr>
          <w:color w:val="666666"/>
          <w:sz w:val="20"/>
        </w:rPr>
        <w:t>创业板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171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35.4 / 第 146 名（壳便宜分 88）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4.02 亿元 / 3.31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李晋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股权质押(0/6)、D1 现金流(2/4)、B1 立案/造假(0/10)、B2 审计意见(6/12)、F2 重组纾困(2/6)、F1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*ST元道（301139）当前V2保壳评分 30 分（D级），全榜第 171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301139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*ST元道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3.31 元 / 4.02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李晋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171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单源出分，榜单分数=报告分数）。*ST元道 当前 30 分、D 级，全榜第 171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实控人：李晋（民企(个人)）。S1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*ST元道（301139）当前V2保壳评分 30 分（D级），全榜第 171 名。安全垫维度：C1面值距离、C2壳价值锚定、A1净资产、A2扣非主营收入、A3扣非净利润。实控人为民企(个人)（李晋），无国资兜底，保壳依赖自身资源与外部资本博弈。已有出售资产/债务豁免等保壳动作，但尚未形成重组级信号。市值4.02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*ST元道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4.02 亿元，对照壳基准 33.81 亿元（近2年154笔实控权变更市值中位数）：市值/基准 = 12%。处于并购/借壳成本优势区——壳越便宜，重组方入场成本越低，被并购概率上升。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146 名，摸鱼指数 35.4（壳便宜分 88）。摸鱼指数=50%×V2保壳分+50%×壳便宜分，反映「保壳确定性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面值距离(5/6)、C2 壳价值锚定(8/8)、A1 净资产(10/10)、A2 扣非主营收入(12/12)、A3 扣非净利润(6/6)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股权质押(0/6)、D1 现金流(2/4)、B1 立案/造假(0/10)、B2 审计意见(6/12)、F2 重组纾困(2/6)、F1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面值距离(5/6)；C2 壳价值锚定(8/8)。空头逻辑：S1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171 名 / 第 146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风险源维度：S1实控人性质、S2股权质押、D1现金流、B1立案/造假、B2审计意见、F2重组纾困、F1财务趋势、H1司法风险。 重大违法处罚落地（B1=0），总分封顶30分，退市锁定风险极高。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*ST元道（301139）=V2评分 30 分/D级/全榜第171名，摸鱼第146名（指数35.4）。C1 面值距离(5/6)、C2 壳价值锚定(8/8)、A1 净资产(10/10)、A2 扣非主营收入(12/12)、A3 扣非净利润(6/6)为安全垫，S1 实控人性质(3/12)、S2 股权质押(0/6)、D1 现金流(2/4)、B1 立案/造假(0/10)、B2 审计意见(6/12)、F2 重组纾困(2/6)、F1 财务趋势(0/4)、H1 司法风险(0/4)为风险源。退市风险高，多通道濒临触发，除非出现实质性重整/纾困进展，否则应谨慎对待。（详见正文九章。）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深度跟读报告｜*ST元道（301139）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