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*ST景谷</w:t>
        <w:br/>
        <w:t>600265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147 名 ｜ 摸鱼指数 35.3 ｜ V2保壳分 36 ｜ C级 ｜ 全榜第 163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*ST景谷（600265）投资要点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36 分 / C 级（全榜第 163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35.3 / 第 147 名（壳便宜分 47）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29.70 亿元 / 22.88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郑家纯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综合评级：C级（36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壳价值锚定(4/8)、S1 实控人性质(3/12)、S2 股权质押(0/6)、A2 扣非主营收入(0/12)、A3 扣非净利润(0/6)、D1 现金流(0/4)、B1 立案/造假(4/10)、F2 重组纾困(2/6)、F1 财务趋势(2/4)、H1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*ST景谷（600265）当前V2保壳评分 36 分（C级），全榜第 163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600265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*ST景谷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22.88 元 / 29.70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郑家纯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163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单源出分，榜单分数=报告分数）。*ST景谷 当前 36 分、C 级，全榜第 163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A16/10、A20/12、A30/6、D10/4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营收严重不达标（接近0或微收），财务类退市风险极端。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已触及「营收&lt;红线+亏损」财务类退市红线组合——这是V2体系中最高优先级的财务退市信号，年报后触发*ST/退市风险高。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实控人：郑家纯（民企(个人)）。S1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4/10：重大违法处罚落地（立案→处罚全链条），触发封顶（总分≤30）。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9/12：带强调事项段的无保留意见，审计面基本干净但有提示事项。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A16/10、A20/12、A30/6、D10/4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风险通道：财务红线、违法通道、股东/治理、纾困通道——是当前最可能触发退市的路径，需优先跟踪。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*ST景谷（600265）当前V2保壳评分 36 分（C级），全榜第 163 名。安全垫维度：C1面值距离。实控人为民企(个人)（郑家纯），无国资兜底，保壳依赖自身资源与外部资本博弈。已有出售资产/债务豁免等保壳动作，但尚未形成重组级信号。市值29.70亿，接近基准壳费线，壳价值中性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*ST景谷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4/8：市值接近壳基准，平价区，壳价值中性。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29.70 亿元，对照壳基准 33.81 亿元（近2年154笔实控权变更市值中位数）：市值/基准 = 88%。处于折价/平价区，并购成本有吸引力或中性。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147 名，摸鱼指数 35.3（壳便宜分 47）。摸鱼指数=50%×V2保壳分+50%×壳便宜分，反映「保壳确定性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壳价值锚定(4/8)、S1 实控人性质(3/12)、S2 股权质押(0/6)、A2 扣非主营收入(0/12)、A3 扣非净利润(0/6)、D1 现金流(0/4)、B1 立案/造假(4/10)、F2 重组纾困(2/6)、F1 财务趋势(2/4)、H1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面值距离(6/6)。空头逻辑：C2 壳价值锚定(4/8)；S1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36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163 名 / 第 147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风险源维度：C2壳价值锚定、S1实控人性质、S2股权质押、A2扣非主营收入、A3扣非净利润、D1现金流、B1立案/造假、F2重组纾困、F1财务趋势、H1司法风险。 营收未达标且扣非亏损，已触及「营收&lt;红线+亏损」财务类退市红线组合。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*ST景谷（600265）=V2评分 36 分/C级/全榜第163名，摸鱼第147名（指数35.3）。C1 面值距离(6/6)为安全垫，C2 壳价值锚定(4/8)、S1 实控人性质(3/12)、S2 股权质押(0/6)、A2 扣非主营收入(0/12)、A3 扣非净利润(0/6)、D1 现金流(0/4)、B1 立案/造假(4/10)、F2 重组纾困(2/6)、F1 财务趋势(2/4)、H1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深度跟读报告｜*ST景谷（600265）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