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ST晨鸣</w:t>
        <w:br/>
        <w:t>000488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149 名 ｜ 摸鱼指数 34.8 ｜ V2保壳分 48 ｜ C级 ｜ 全榜第 124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ST晨鸣（000488）投资要点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48 分 / C 级（全榜第 124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34.8 / 第 149 名（壳便宜分 34）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56.77 亿元 / 1.93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寿光市国有资产监督管理局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面值距离(2/6)、C2 壳价值锚定(0/8)、S2 股权质押(0/6)、A3 扣非净利润(3/6)、D1 现金流(2/4)、B2 审计意见(0/12)、F2 重组纾困(0/6)、H1 司法风险(0/4)，是主要失分区。</w:t>
      </w:r>
    </w:p>
    <w:p>
      <w:r>
        <w:rPr>
          <w:b w:val="0"/>
          <w:sz w:val="20"/>
        </w:rPr>
        <w:t>2. 审计无法表示/否定意见（B2=0），总分封顶50，规范风险重大。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ST晨鸣（000488）当前V2保壳评分 48 分（C级），全榜第 124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000488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ST晨鸣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1.93 元 / 56.77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寿光市国有资产监督管理局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124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单源出分，榜单分数=报告分数）。ST晨鸣 当前 48 分、C 级，全榜第 124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实控人：寿光市国有资产监督管理局（市县国资）。S1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A110/10、A29/12、A33/6、D12/4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ST晨鸣（000488）当前V2保壳评分 48 分（C级），全榜第 124 名。安全垫维度：A1净资产、B1立案/造假、F1财务趋势。实控人为市县国资（寿光市国有资产监督管理局），地方国资具备一定信用背书与资源协调能力。暂无重组/纾困信号，保壳主要依赖自身经营修复。市值56.77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ST晨鸣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56.77 亿元，对照壳基准 33.81 亿元（近2年154笔实控权变更市值中位数）：市值/基准 = 168%。高于壳基准，壳价不占优，安全边际一般。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149 名，摸鱼指数 34.8（壳便宜分 34）。摸鱼指数=50%×V2保壳分+50%×壳便宜分，反映「保壳确定性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A1 净资产(10/10)、B1 立案/造假(10/10)、F1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面值距离(2/6)、C2 壳价值锚定(0/8)、S2 股权质押(0/6)、A3 扣非净利润(3/6)、D1 现金流(2/4)、B2 审计意见(0/12)、F2 重组纾困(0/6)、H1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多头逻辑：A1 净资产(10/10)；B1 立案/造假(10/10)。空头逻辑：C1 面值距离(2/6)；C2 壳价值锚定(0/8)。综合评级见第八章。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48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124 名 / 第 149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风险源维度：C1面值距离、C2壳价值锚定、S2股权质押、A3扣非净利润、D1现金流、B2审计意见、F2重组纾困、H1司法风险。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ST晨鸣（000488）=V2评分 48 分/C级/全榜第124名，摸鱼第149名（指数34.8）。A1 净资产(10/10)、B1 立案/造假(10/10)、F1 财务趋势(4/4)为安全垫，C1 面值距离(2/6)、C2 壳价值锚定(0/8)、S2 股权质押(0/6)、A3 扣非净利润(3/6)、D1 现金流(2/4)、B2 审计意见(0/12)、F2 重组纾困(0/6)、H1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深度跟读报告｜ST晨鸣（000488）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