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ST人福</w:t>
        <w:br/>
        <w:t>600079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150 名 ｜ 摸鱼指数 34.5 ｜ V2保壳分 69 ｜ B级 ｜ 全榜第 10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ST人福（600079）投资要点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69 分 / B 级（全榜第 10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34.5 / 第 150 名（壳便宜分 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304.57 亿元 / 18.66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招商局集团有限公司 / 央企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综合评级：B级（69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壳价值锚定(0/8)、S2 股权质押(0/6)、B2 审计意见(6/12)、F1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ST人福（600079）当前V2保壳评分 69 分（B级），全榜第 10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600079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ST人福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18.66 元 / 304.57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招商局集团有限公司 / 央企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10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单源出分，榜单分数=报告分数）。ST人福 当前 69 分、B 级，全榜第 10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F26/6、F12/4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财务四维均达标，未触及财务类退市红线，主业造血正常。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实控人：招商局集团有限公司（央企）。S1 得分 10/12：国资实控（央企或省级国资委），保壳兜底能力与信用资源为最高档。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国资实控且质押风险低，控制权稳定，具备保壳兜底能力。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F26/6、F12/4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r>
        <w:rPr>
          <w:b w:val="0"/>
        </w:rPr>
        <w:t>风险通道：市场通道、规范通道、股东/治理——是当前最可能触发退市的路径，需优先跟踪。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ST人福（600079）当前V2保壳评分 69 分（B级），全榜第 10 名。安全垫维度：C1面值距离、S1实控人性质、A1净资产、A2扣非主营收入、A3扣非净利润、D1现金流、F2重组纾困。实控人为央企（招商局集团有限公司），国资信用与资源协调能力构成最强保壳兜底。重组/纾困已进入执行或完成阶段，保壳确定性最高。市值304.57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ST人福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304.57 亿元，对照壳基准 33.81 亿元（近2年154笔实控权变更市值中位数）：市值/基准 = 901%。高于壳基准，壳价不占优，安全边际一般。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150 名，摸鱼指数 34.5（壳便宜分 0）。摸鱼指数=50%×V2保壳分+50%×壳便宜分，反映「保壳确定性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面值距离(6/6)、S1 实控人性质(10/12)、A1 净资产(10/10)、A2 扣非主营收入(12/12)、A3 扣非净利润(6/6)、D1 现金流(4/4)、F2 重组纾困(6/6)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壳价值锚定(0/8)、S2 股权质押(0/6)、B2 审计意见(6/12)、F1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面值距离(6/6)；S1 实控人性质(10/12)。空头逻辑：C2 壳价值锚定(0/8)；S2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69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10 名 / 第 150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风险源维度：C2壳价值锚定、S2股权质押、B2审计意见、F1财务趋势、H1司法风险。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ST人福（600079）=V2评分 69 分/B级/全榜第10名，摸鱼第150名（指数34.5）。C1 面值距离(6/6)、S1 实控人性质(10/12)、A1 净资产(10/10)、A2 扣非主营收入(12/12)、A3 扣非净利润(6/6)、D1 现金流(4/4)、F2 重组纾困(6/6)为安全垫，C2 壳价值锚定(0/8)、S2 股权质押(0/6)、B2 审计意见(6/12)、F1 财务趋势(2/4)、H1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深度跟读报告｜ST人福（600079）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