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ST百灵</w:t>
        <w:br/>
        <w:t>002424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151 名 ｜ 摸鱼指数 34.4 ｜ V2保壳分 50 ｜ C级 ｜ 全榜第 113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ST百灵（002424）投资要点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113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34.4 / 第 151 名（壳便宜分 31）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64.57 亿元 / 4.62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姜伟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实控人性质(3/12)、A3 扣非净利润(3/6)、B2 审计意见(0/12)、F2 重组纾困(0/6)、F1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ST百灵（002424）当前V2保壳评分 50 分（C级），全榜第 113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002424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ST百灵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4.62 元 / 64.57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姜伟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113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单源出分，榜单分数=报告分数）。ST百灵 当前 50 分、C 级，全榜第 113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实控人：姜伟（民企(个人)）。S1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ST百灵（002424）当前V2保壳评分 50 分（C级），全榜第 113 名。安全垫维度：C1面值距离、S2股权质押、A1净资产、A2扣非主营收入、D1现金流。实控人为民企(个人)（姜伟），无国资兜底，保壳依赖自身资源与外部资本博弈。暂无重组/纾困信号，保壳主要依赖自身经营修复。市值64.57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ST百灵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64.57 亿元，对照壳基准 33.81 亿元（近2年154笔实控权变更市值中位数）：市值/基准 = 191%。高于壳基准，壳价不占优，安全边际一般。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151 名，摸鱼指数 34.4（壳便宜分 31）。摸鱼指数=50%×V2保壳分+50%×壳便宜分，反映「保壳确定性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股权质押(6/6)、A1 净资产(10/10)、A2 扣非主营收入(12/12)、D1 现金流(4/4)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实控人性质(3/12)、A3 扣非净利润(3/6)、B2 审计意见(0/12)、F2 重组纾困(0/6)、F1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113 名 / 第 151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风险源维度：C2壳价值锚定、S1实控人性质、A3扣非净利润、B2审计意见、F2重组纾困、F1财务趋势、H1司法风险。 审计意见为无法表示/否定意见（B2=0），总分封顶50分，是重大规范风险。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ST百灵（002424）=V2评分 50 分/C级/全榜第113名，摸鱼第151名（指数34.4）。C1 面值距离(5/6)、S2 股权质押(6/6)、A1 净资产(10/10)、A2 扣非主营收入(12/12)、D1 现金流(4/4)为安全垫，C2 壳价值锚定(0/8)、S1 实控人性质(3/12)、A3 扣非净利润(3/6)、B2 审计意见(0/12)、F2 重组纾困(0/6)、F1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深度跟读报告｜ST百灵（002424）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