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*ST威领</w:t>
        <w:br/>
        <w:t>002667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153 名 ｜ 摸鱼指数 34.4 ｜ V2保壳分 44 ｜ C级 ｜ 全榜第 140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*ST威领（002667）投资要点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级（全榜第 140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34.4 / 第 153 名（壳便宜分 37）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49.51 亿元 / 19.0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黄达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股权质押(0/6)、A1 净资产(3/10)、A3 扣非净利润(0/6)、B2 审计意见(0/12)、F2 重组纾困(0/6)、H1 司法风险(0/4)，是主要失分区。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*ST威领（002667）当前V2保壳评分 44 分（C级），全榜第 140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002667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*ST威领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19.0 元 / 49.51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黄达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140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单源出分，榜单分数=报告分数）。*ST威领 当前 44 分、C 级，全榜第 140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实控人：黄达（民企(个人)）。S1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*ST威领（002667）当前V2保壳评分 44 分（C级），全榜第 140 名。安全垫维度：C1面值距离、A2扣非主营收入、D1现金流、B1立案/造假、F1财务趋势。实控人为民企(个人)（黄达），无国资兜底，保壳依赖自身资源与外部资本博弈。暂无重组/纾困信号，保壳主要依赖自身经营修复。市值49.51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*ST威领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49.51 亿元，对照壳基准 33.81 亿元（近2年154笔实控权变更市值中位数）：市值/基准 = 146%。高于壳基准，壳价不占优，安全边际一般。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153 名，摸鱼指数 34.4（壳便宜分 37）。摸鱼指数=50%×V2保壳分+50%×壳便宜分，反映「保壳确定性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扣非主营收入(12/12)、D1 现金流(4/4)、B1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股权质押(0/6)、A1 净资产(3/10)、A3 扣非净利润(0/6)、B2 审计意见(0/12)、F2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140 名 / 第 153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风险源维度：C2壳价值锚定、S1实控人性质、S2股权质押、A1净资产、A3扣非净利润、B2审计意见、F2重组纾困、H1司法风险。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*ST威领（002667）=V2评分 44 分/C级/全榜第140名，摸鱼第153名（指数34.4）。C1 面值距离(6/6)、A2 扣非主营收入(12/12)、D1 现金流(4/4)、B1 立案/造假(10/10)、F1 财务趋势(4/4)为安全垫，C2 壳价值锚定(2/8)、S1 实控人性质(3/12)、S2 股权质押(0/6)、A1 净资产(3/10)、A3 扣非净利润(0/6)、B2 审计意见(0/12)、F2 重组纾困(0/6)、H1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深度跟读报告｜*ST威领（002667）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