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*ST沐邦</w:t>
        <w:br/>
        <w:t>603398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154 名 ｜ 摸鱼指数 34.0 ｜ V2保壳分 41 ｜ C级 ｜ 全榜第 150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*ST沐邦（603398）投资要点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级（全榜第 150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34.0 / 第 154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45.06 亿元 / 10.39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廖志远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股权质押(0/6)、A1 净资产(3/10)、A3 扣非净利润(0/6)、D1 现金流(0/4)、B2 审计意见(0/12)、H1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*ST沐邦（603398）当前V2保壳评分 41 分（C级），全榜第 150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603398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*ST沐邦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10.39 元 / 45.06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廖志远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单源出分，榜单分数=报告分数）。*ST沐邦 当前 41 分、C 级，全榜第 150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实控人：廖志远（民企(个人)）。S1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*ST沐邦（603398）当前V2保壳评分 41 分（C级），全榜第 150 名。安全垫维度：C1面值距离、A2扣非主营收入、F1财务趋势。实控人为民企(个人)（廖志远），无国资兜底，保壳依赖自身资源与外部资本博弈。重组/预重整正在推进，保壳有实质抓手。市值45.06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*ST沐邦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45.06 亿元，对照壳基准 33.81 亿元（近2年154笔实控权变更市值中位数）：市值/基准 = 133%。高于壳基准，壳价不占优，安全边际一般。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154 名，摸鱼指数 34.0（壳便宜分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股权质押(0/6)、A1 净资产(3/10)、A3 扣非净利润(0/6)、D1 现金流(0/4)、B2 审计意见(0/12)、H1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41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150 名 / 第 154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风险源维度：C2壳价值锚定、S1实控人性质、S2股权质押、A1净资产、A3扣非净利润、D1现金流、B2审计意见、H1司法风险。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*ST沐邦（603398）=V2评分 41 分/C级/全榜第150名，摸鱼第154名（指数34.0）。C1 面值距离(6/6)、A2 扣非主营收入(12/12)、F1 财务趋势(4/4)为安全垫，C2 壳价值锚定(2/8)、S1 实控人性质(3/12)、S2 股权质押(0/6)、A1 净资产(3/10)、A3 扣非净利润(0/6)、D1 现金流(0/4)、B2 审计意见(0/12)、H1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深度跟读报告｜*ST沐邦（603398）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