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*ST康乐</w:t>
        <w:br/>
        <w:t>920575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156 名 ｜ 摸鱼指数 0.0 ｜ V2保壳分 39 ｜ C级 ｜ 全榜第 156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*ST康乐（920575）投资要点</w:t>
      </w:r>
    </w:p>
    <w:p>
      <w:pPr>
        <w:jc w:val="center"/>
      </w:pPr>
      <w:r>
        <w:rPr>
          <w:color w:val="666666"/>
          <w:sz w:val="20"/>
        </w:rPr>
        <w:t>北交所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级（全榜第 156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0.0 / 第 156 名（壳便宜分 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0.00 亿元 / 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陶涛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实控人性质(3/12)、A1 净资产(3/10)、A2 扣非主营收入(0/12)、A3 扣非净利润(0/6)、D1 现金流(1/4)、B2 审计意见(6/12)、F2 重组纾困(0/6)、F1 财务趋势(2/4)、H1 司法风险(2/4)，是主要失分区。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*ST康乐（920575）当前V2保壳评分 39 分（C级），全榜第 156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920575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*ST康乐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元 / 0.00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陶涛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单源出分，榜单分数=报告分数）。*ST康乐 当前 39 分、C 级，全榜第 156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实控人：陶涛（民企(个人)）。S1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2/4：存在一定司法风险信号。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A13/10、A20/12、A30/6、D11/4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*ST康乐（920575）当前V2保壳评分 39 分（C级），全榜第 156 名。安全垫维度：C1面值距离、S2股权质押。实控人为民企(个人)（陶涛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*ST康乐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市值数据缺失（未纳入摸鱼池），壳价值维度暂不评估。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156 名，摸鱼指数 0.0（壳便宜分 —）。摸鱼指数=50%×V2保壳分+50%×壳便宜分，反映「保壳确定性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实控人性质(3/12)、A1 净资产(3/10)、A2 扣非主营收入(0/12)、A3 扣非净利润(0/6)、D1 现金流(1/4)、B2 审计意见(6/12)、F2 重组纾困(0/6)、F1 财务趋势(2/4)、H1 司法风险(2/4)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156 名 / 第 156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风险源维度：C2壳价值锚定、S1实控人性质、A1净资产、A2扣非主营收入、A3扣非净利润、D1现金流、B2审计意见、F2重组纾困、F1财务趋势、H1司法风险。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*ST康乐（920575）=V2评分 39 分/C级/全榜第156名，摸鱼第156名（指数0.0）。C1 面值距离(5/6)、S2 股权质押(6/6)为安全垫，C2 壳价值锚定(4/8)、S1 实控人性质(3/12)、A1 净资产(3/10)、A2 扣非主营收入(0/12)、A3 扣非净利润(0/6)、D1 现金流(1/4)、B2 审计意见(6/12)、F2 重组纾困(0/6)、F1 财务趋势(2/4)、H1 司法风险(2/4)为风险源。保壳压力较大，存在明确风险敞口，若短板维度不修复，存在退市可能。（详见正文九章。）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深度跟读报告｜*ST康乐（920575）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