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*ST同辉</w:t>
        <w:br/>
        <w:t>920090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157 名 ｜ 摸鱼指数 0.0 ｜ V2保壳分 39 ｜ C级 ｜ 全榜第 157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*ST同辉（920090）投资要点</w:t>
      </w:r>
    </w:p>
    <w:p>
      <w:pPr>
        <w:jc w:val="center"/>
      </w:pPr>
      <w:r>
        <w:rPr>
          <w:color w:val="666666"/>
          <w:sz w:val="20"/>
        </w:rPr>
        <w:t>北交所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39 分 / C 级（全榜第 157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0.0 / 第 157 名（壳便宜分 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0.00 亿元 / 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戴福昊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北交所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实控人性质(3/12)、A1 净资产(3/10)、A2 扣非主营收入(0/12)、A3 扣非净利润(0/6)、D1 现金流(1/4)、B2 审计意见(6/12)、F2 重组纾困(0/6)、F1 财务趋势(2/4)、H1 司法风险(2/4)，是主要失分区。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*ST同辉（920090）当前V2保壳评分 39 分（C级），全榜第 157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920090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*ST同辉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北交所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元 / 0.00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戴福昊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157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单源出分，榜单分数=报告分数）。*ST同辉 当前 39 分、C 级，全榜第 157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A13/10、A20/12、A30/6、D11/4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S13/12、S26/6、H12/4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实控人：戴福昊（民企(个人)）。S1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2/4：存在一定司法风险信号。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A13/10、A20/12、A30/6、D11/4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S13/12、S26/6、H12/4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*ST同辉（920090）当前V2保壳评分 39 分（C级），全榜第 157 名。安全垫维度：C1面值距离、S2股权质押。实控人为民企(个人)（戴福昊），无国资兜底，保壳依赖自身资源与外部资本博弈。暂无重组/纾困信号，保壳主要依赖自身经营修复。市值数据缺失，未纳入摸鱼池，壳价值维度暂不评估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*ST同辉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市值数据缺失（未纳入摸鱼池），壳价值维度暂不评估。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157 名，摸鱼指数 0.0（壳便宜分 —）。摸鱼指数=50%×V2保壳分+50%×壳便宜分，反映「保壳确定性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实控人性质(3/12)、A1 净资产(3/10)、A2 扣非主营收入(0/12)、A3 扣非净利润(0/6)、D1 现金流(1/4)、B2 审计意见(6/12)、F2 重组纾困(0/6)、F1 财务趋势(2/4)、H1 司法风险(2/4)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39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157 名 / 第 157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风险源维度：C2壳价值锚定、S1实控人性质、A1净资产、A2扣非主营收入、A3扣非净利润、D1现金流、B2审计意见、F2重组纾困、F1财务趋势、H1司法风险。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*ST同辉（920090）=V2评分 39 分/C级/全榜第157名，摸鱼第157名（指数0.0）。C1 面值距离(5/6)、S2 股权质押(6/6)为安全垫，C2 壳价值锚定(4/8)、S1 实控人性质(3/12)、A1 净资产(3/10)、A2 扣非主营收入(0/12)、A3 扣非净利润(0/6)、D1 现金流(1/4)、B2 审计意见(6/12)、F2 重组纾困(0/6)、F1 财务趋势(2/4)、H1 司法风险(2/4)为风险源。保壳压力较大，存在明确风险敞口，若短板维度不修复，存在退市可能。（详见正文九章。）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深度跟读报告｜*ST同辉（920090）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