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*ST禾信</w:t>
        <w:br/>
        <w:t>688622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158 名 ｜ 摸鱼指数 33.2 ｜ V2保壳分 47 ｜ C级 ｜ 全榜第 126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*ST禾信（688622）投资要点</w:t>
      </w:r>
    </w:p>
    <w:p>
      <w:pPr>
        <w:jc w:val="center"/>
      </w:pPr>
      <w:r>
        <w:rPr>
          <w:color w:val="666666"/>
          <w:sz w:val="20"/>
        </w:rPr>
        <w:t>科创板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级（全榜第 126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33.2 / 第 158 名（壳便宜分 31）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65.45 亿元 / 92.88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周振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实控人性质(3/12)、S2 股权质押(0/6)、A2 扣非主营收入(6/12)、A3 扣非净利润(0/6)、D1 现金流(2/4)、F2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*ST禾信（688622）当前V2保壳评分 47 分（C级），全榜第 126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688622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*ST禾信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92.88 元 / 65.45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周振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126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单源出分，榜单分数=报告分数）。*ST禾信 当前 47 分、C 级，全榜第 126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A16/10、A26/12、A30/6、D12/4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实控人：周振（民企(个人)）。S1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A16/10、A26/12、A30/6、D12/4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*ST禾信（688622）当前V2保壳评分 47 分（C级），全榜第 126 名。安全垫维度：C1面值距离、B1立案/造假、B2审计意见。实控人为民企(个人)（周振），无国资兜底，保壳依赖自身资源与外部资本博弈。已有出售资产/债务豁免等保壳动作，但尚未形成重组级信号。市值65.45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*ST禾信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65.45 亿元，对照壳基准 33.81 亿元（近2年154笔实控权变更市值中位数）：市值/基准 = 194%。高于壳基准，壳价不占优，安全边际一般。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158 名，摸鱼指数 33.2（壳便宜分 31）。摸鱼指数=50%×V2保壳分+50%×壳便宜分，反映「保壳确定性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面值距离(6/6)、B1 立案/造假(10/10)、B2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实控人性质(3/12)、S2 股权质押(0/6)、A2 扣非主营收入(6/12)、A3 扣非净利润(0/6)、D1 现金流(2/4)、F2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面值距离(6/6)；B1 立案/造假(10/10)。空头逻辑：C2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126 名 / 第 158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风险源维度：C2壳价值锚定、S1实控人性质、S2股权质押、A2扣非主营收入、A3扣非净利润、D1现金流、F2重组纾困、F1财务趋势、H1司法风险。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*ST禾信（688622）=V2评分 47 分/C级/全榜第126名，摸鱼第158名（指数33.2）。C1 面值距离(6/6)、B1 立案/造假(10/10)、B2 审计意见(12/12)为安全垫，C2 壳价值锚定(0/8)、S1 实控人性质(3/12)、S2 股权质押(0/6)、A2 扣非主营收入(6/12)、A3 扣非净利润(0/6)、D1 现金流(2/4)、F2 重组纾困(2/6)、F1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深度跟读报告｜*ST禾信（688622）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