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*ST利源</w:t>
        <w:br/>
        <w:t>002501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163 名 ｜ 摸鱼指数 31.9 ｜ V2保壳分 37 ｜ C级 ｜ 全榜第 162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*ST利源（002501）投资要点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37 分 / C 级（全榜第 162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31.9 / 第 163 名（壳便宜分 38）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46.51 亿元 / 1.31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张源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综合评级：C级（37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面值距离(1/6)、C2 壳价值锚定(2/8)、S1 实控人性质(3/12)、S2 股权质押(0/6)、A1 净资产(3/10)、A2 扣非主营收入(3/12)、A3 扣非净利润(0/6)、D1 现金流(0/4)、F2 重组纾困(2/6)、H1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*ST利源（002501）当前V2保壳评分 37 分（C级），全榜第 162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002501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*ST利源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1.31 元 / 46.51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张源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162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单源出分，榜单分数=报告分数）。*ST利源 当前 37 分、C 级，全榜第 162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实控人：张源（民企(个人)）。S1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风险通道：市场通道、财务红线、股东/治理——是当前最可能触发退市的路径，需优先跟踪。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*ST利源（002501）当前V2保壳评分 37 分（C级），全榜第 162 名。安全垫维度：B1立案/造假、F1财务趋势。实控人为民企(个人)（张源），无国资兜底，保壳依赖自身资源与外部资本博弈。已有出售资产/债务豁免等保壳动作，但尚未形成重组级信号。市值46.51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*ST利源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46.51 亿元，对照壳基准 33.81 亿元（近2年154笔实控权变更市值中位数）：市值/基准 = 138%。高于壳基准，壳价不占优，安全边际一般。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163 名，摸鱼指数 31.9（壳便宜分 38）。摸鱼指数=50%×V2保壳分+50%×壳便宜分，反映「保壳确定性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B1 立案/造假(10/10)、F1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面值距离(1/6)、C2 壳价值锚定(2/8)、S1 实控人性质(3/12)、S2 股权质押(0/6)、A1 净资产(3/10)、A2 扣非主营收入(3/12)、A3 扣非净利润(0/6)、D1 现金流(0/4)、F2 重组纾困(2/6)、H1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多头逻辑：B1 立案/造假(10/10)；F1 财务趋势(4/4)。空头逻辑：C1 面值距离(1/6)；C2 壳价值锚定(2/8)。综合评级见第八章。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37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162 名 / 第 163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风险源维度：C1面值距离、C2壳价值锚定、S1实控人性质、S2股权质押、A1净资产、A2扣非主营收入、A3扣非净利润、D1现金流、F2重组纾困、H1司法风险。 营收未达标且扣非亏损，已触及「营收&lt;红线+亏损」财务类退市红线组合。 股价贴近或跌破1元面值线（C1≤1），面值退市危机显著。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*ST利源（002501）=V2评分 37 分/C级/全榜第162名，摸鱼第163名（指数31.9）。B1 立案/造假(10/10)、F1 财务趋势(4/4)为安全垫，C1 面值距离(1/6)、C2 壳价值锚定(2/8)、S1 实控人性质(3/12)、S2 股权质押(0/6)、A1 净资产(3/10)、A2 扣非主营收入(3/12)、A3 扣非净利润(0/6)、D1 现金流(0/4)、F2 重组纾困(2/6)、H1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深度跟读报告｜*ST利源（002501）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