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*ST英飞</w:t>
        <w:br/>
        <w:t>002528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165 名 ｜ 摸鱼指数 27.6 ｜ V2保壳分 38 ｜ C级 ｜ 全榜第 159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*ST英飞（002528）投资要点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 分 / C 级（全榜第 159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27.6 / 第 165 名（壳便宜分 27）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79.71 亿元 / 6.65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深圳市投资控股有限公司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综合评级：C级（38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实控人性质(3/12)、S2 股权质押(0/6)、A1 净资产(0/10)、A3 扣非净利润(0/6)、D1 现金流(0/4)、B2 审计意见(6/12)、F1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*ST英飞（002528）当前V2保壳评分 38 分（C级），全榜第 159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002528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*ST英飞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6.65 元 / 79.71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深圳市投资控股有限公司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159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单源出分，榜单分数=报告分数）。*ST英飞 当前 38 分、C 级，全榜第 159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实控人：深圳市投资控股有限公司（民企(法人)）。S1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*ST英飞（002528）当前V2保壳评分 38 分（C级），全榜第 159 名。安全垫维度：C1面值距离、A2扣非主营收入。实控人为民企(法人)（深圳市投资控股有限公司），无国资兜底，保壳依赖自身资源与外部资本博弈。重组/预重整正在推进，保壳有实质抓手。市值79.71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*ST英飞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79.71 亿元，对照壳基准 33.81 亿元（近2年154笔实控权变更市值中位数）：市值/基准 = 236%。高于壳基准，壳价不占优，安全边际一般。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165 名，摸鱼指数 27.6（壳便宜分 27）。摸鱼指数=50%×V2保壳分+50%×壳便宜分，反映「保壳确定性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面值距离(6/6)、A2 扣非主营收入(12/12)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实控人性质(3/12)、S2 股权质押(0/6)、A1 净资产(0/10)、A3 扣非净利润(0/6)、D1 现金流(0/4)、B2 审计意见(6/12)、F1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面值距离(6/6)；A2 扣非主营收入(12/12)。空头逻辑：C2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38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159 名 / 第 165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风险源维度：C2壳价值锚定、S1实控人性质、S2股权质押、A1净资产、A3扣非净利润、D1现金流、B2审计意见、F1财务趋势、H1司法风险。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*ST英飞（002528）=V2评分 38 分/C级/全榜第159名，摸鱼第165名（指数27.6）。C1 面值距离(6/6)、A2 扣非主营收入(12/12)为安全垫，C2 壳价值锚定(0/8)、S1 实控人性质(3/12)、S2 股权质押(0/6)、A1 净资产(0/10)、A3 扣非净利润(0/6)、D1 现金流(0/4)、B2 审计意见(6/12)、F1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深度跟读报告｜*ST英飞（002528）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