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ST嘉应</w:t>
        <w:br/>
        <w:t>002198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168 名 ｜ 摸鱼指数 26.4 ｜ V2保壳分 30 ｜ D级 ｜ 全榜第 172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ST嘉应（002198）投资要点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172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26.4 / 第 168 名（壳便宜分 58）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17.66 亿元 / 3.48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实控人性质(1/12)、D1 现金流(2/4)、B1 立案/造假(0/10)、B2 审计意见(0/12)、F2 重组纾困(2/6)、F1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审计无法表示/否定意见（B2=0），总分封顶50，规范风险重大。</w:t>
      </w:r>
    </w:p>
    <w:p>
      <w:r>
        <w:rPr>
          <w:b w:val="0"/>
          <w:sz w:val="20"/>
        </w:rPr>
        <w:t>5.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ST嘉应（002198）当前V2保壳评分 30 分（D级），全榜第 172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002198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ST嘉应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3.48 元 / 17.66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172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单源出分，榜单分数=报告分数）。ST嘉应 当前 30 分、D 级，全榜第 172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ST嘉应（002198）当前V2保壳评分 30 分（D级），全榜第 172 名。安全垫维度：C1面值距离、S2股权质押、A1净资产、A2扣非主营收入、A3扣非净利润、H1司法风险。公司当前无实控人，治理结构与保壳主导权存在不确定性。已有出售资产/债务豁免等保壳动作，但尚未形成重组级信号。市值17.66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ST嘉应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17.66 亿元，对照壳基准 33.81 亿元（近2年154笔实控权变更市值中位数）：市值/基准 = 52%。处于折价/平价区，并购成本有吸引力或中性。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168 名，摸鱼指数 26.4（壳便宜分 58）。摸鱼指数=50%×V2保壳分+50%×壳便宜分，反映「保壳确定性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面值距离(5/6)、S2 股权质押(6/6)、A1 净资产(8/10)、A2 扣非主营收入(12/12)、A3 扣非净利润(6/6)、H1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实控人性质(1/12)、D1 现金流(2/4)、B1 立案/造假(0/10)、B2 审计意见(0/12)、F2 重组纾困(2/6)、F1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面值距离(5/6)；S2 股权质押(6/6)。空头逻辑：S1 实控人性质(1/12)；D1 现金流(2/4)。综合评级见第八章。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172 名 / 第 168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风险源维度：S1实控人性质、D1现金流、B1立案/造假、B2审计意见、F2重组纾困、F1财务趋势。 重大违法处罚落地（B1=0），总分封顶30分，退市锁定风险极高。 审计意见为无法表示/否定意见（B2=0），总分封顶50分，是重大规范风险。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ST嘉应（002198）=V2评分 30 分/D级/全榜第172名，摸鱼第168名（指数26.4）。C1 面值距离(5/6)、S2 股权质押(6/6)、A1 净资产(8/10)、A2 扣非主营收入(12/12)、A3 扣非净利润(6/6)、H1 司法风险(4/4)为安全垫，S1 实控人性质(1/12)、D1 现金流(2/4)、B1 立案/造假(0/10)、B2 审计意见(0/12)、F2 重组纾困(2/6)、F1 财务趋势(0/4)为风险源。退市风险高，多通道濒临触发，除非出现实质性重整/纾困进展，否则应谨慎对待。（详见正文九章。）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深度跟读报告｜ST嘉应（002198）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