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ST海泰</w:t>
        <w:br/>
        <w:t>600082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170 名 ｜ 摸鱼指数 25.8 ｜ V2保壳分 30 ｜ D级 ｜ 全榜第 175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ST海泰（600082）投资要点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175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25.8 / 第 170 名（壳便宜分 56）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19.25 亿元 / 2.98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天津市人民政府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风险源维度：A3 扣非净利润(3/6)、B1 立案/造假(0/10)、F2 重组纾困(2/6)，是主要失分区。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ST海泰（600082）当前V2保壳评分 30 分（D级），全榜第 175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600082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ST海泰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2.98 元 / 19.25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天津市人民政府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175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单源出分，榜单分数=报告分数）。ST海泰 当前 30 分、D 级，全榜第 175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4/4：经营现金流为正，造血正常。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实控人：天津市人民政府（市县国资）。S1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6/6：无质押/质押比例极低，控制权稳固，无平仓扰动。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C14/6、C26/8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A110/10、A212/12、A33/6、D14/4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S18/12、S26/6、H14/4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F22/6、F14/4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</w:tbl>
    <w:p>
      <w:r>
        <w:rPr>
          <w:b w:val="0"/>
        </w:rPr>
        <w:t>风险通道：违法通道——是当前最可能触发退市的路径，需优先跟踪。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ST海泰（600082）当前V2保壳评分 30 分（D级），全榜第 175 名。安全垫维度：S2股权质押、A1净资产、A2扣非主营收入、D1现金流、B2审计意见、F1财务趋势、H1司法风险。实控人为市县国资（天津市人民政府），地方国资具备一定信用背书与资源协调能力。已有出售资产/债务豁免等保壳动作，但尚未形成重组级信号。市值19.25亿，处于基准壳费线5~8折折价区，并购成本有吸引力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ST海泰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6/8：市值处于壳基准5折~8折折价区，并购成本有吸引力。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19.25 亿元，对照壳基准 33.81 亿元（近2年154笔实控权变更市值中位数）：市值/基准 = 57%。处于折价/平价区，并购成本有吸引力或中性。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170 名，摸鱼指数 25.8（壳便宜分 56）。摸鱼指数=50%×V2保壳分+50%×壳便宜分，反映「保壳确定性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S2 股权质押(6/6)、A1 净资产(10/10)、A2 扣非主营收入(12/12)、D1 现金流(4/4)、B2 审计意见(12/12)、F1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A3 扣非净利润(3/6)、B1 立案/造假(0/10)、F2 重组纾困(2/6)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多头逻辑：S2 股权质押(6/6)；A1 净资产(10/10)。空头逻辑：A3 扣非净利润(3/6)；B1 立案/造假(0/10)。综合评级见第八章。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175 名 / 第 170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风险源维度：A3扣非净利润、B1立案/造假、F2重组纾困。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ST海泰（600082）=V2评分 30 分/D级/全榜第175名，摸鱼第170名（指数25.8）。S2 股权质押(6/6)、A1 净资产(10/10)、A2 扣非主营收入(12/12)、D1 现金流(4/4)、B2 审计意见(12/12)、F1 财务趋势(4/4)、H1 司法风险(4/4)为安全垫，A3 扣非净利润(3/6)、B1 立案/造假(0/10)、F2 重组纾困(2/6)为风险源。退市风险高，多通道濒临触发，除非出现实质性重整/纾困进展，否则应谨慎对待。（详见正文九章。）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深度跟读报告｜ST海泰（600082）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