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ST章鼓</w:t>
        <w:br/>
        <w:t>002598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172 名 ｜ 摸鱼指数 25.2 ｜ V2保壳分 30 ｜ D级 ｜ 全榜第 177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ST章鼓（002598）投资要点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25.2 / 第 172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21.47 亿元 / 6.88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济南市章丘区财政局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风险源维度：B1 立案/造假(0/10)、B2 审计意见(0/12)、F2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审计无法表示/否定意见（B2=0），总分封顶50，规范风险重大。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ST章鼓（002598）当前V2保壳评分 30 分（D级），全榜第 177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002598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ST章鼓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6.88 元 / 21.47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济南市章丘区财政局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177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单源出分，榜单分数=报告分数）。ST章鼓 当前 30 分、D 级，全榜第 177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实控人：济南市章丘区财政局（市县国资）。S1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ST章鼓（002598）当前V2保壳评分 30 分（D级），全榜第 177 名。安全垫维度：C1面值距离、S2股权质押、A1净资产、A2扣非主营收入、A3扣非净利润、D1现金流、H1司法风险。实控人为市县国资（济南市章丘区财政局），地方国资具备一定信用背书与资源协调能力。暂无重组/纾困信号，保壳主要依赖自身经营修复。市值21.47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ST章鼓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21.47 亿元，对照壳基准 33.81 亿元（近2年154笔实控权变更市值中位数）：市值/基准 = 64%。处于折价/平价区，并购成本有吸引力或中性。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172 名，摸鱼指数 25.2（壳便宜分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扣非净利润(6/6)、D1 现金流(4/4)、H1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B1 立案/造假(0/10)、B2 审计意见(0/12)、F2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股权质押(6/6)。空头逻辑：B1 立案/造假(0/10)；B2 审计意见(0/12)。综合评级见第八章。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177 名 / 第 172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风险源维度：B1立案/造假、B2审计意见、F2重组纾困、F1财务趋势。 重大违法处罚落地（B1=0），总分封顶30分，退市锁定风险极高。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ST章鼓（002598）=V2评分 30 分/D级/全榜第177名，摸鱼第172名（指数25.2）。C1 面值距离(6/6)、S2 股权质押(6/6)、A1 净资产(10/10)、A2 扣非主营收入(12/12)、A3 扣非净利润(6/6)、D1 现金流(4/4)、H1 司法风险(4/4)为安全垫，B1 立案/造假(0/10)、B2 审计意见(0/12)、F2 重组纾困(0/6)、F1 财务趋势(2/4)为风险源。退市风险高，多通道濒临触发，除非出现实质性重整/纾困进展，否则应谨慎对待。（详见正文九章。）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深度跟读报告｜ST章鼓（002598）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